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both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</w:rPr>
      </w:pPr>
      <w:r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  <w:t>河北省第七届（定州）园林博览会主展馆项目EPC总承包弱电项目公共广播及会议系统设备采购招标</w:t>
      </w:r>
    </w:p>
    <w:p>
      <w:pPr>
        <w:spacing w:before="120" w:after="120" w:line="360" w:lineRule="auto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spacing w:before="120" w:after="120" w:line="360" w:lineRule="auto"/>
        <w:jc w:val="center"/>
        <w:rPr>
          <w:rFonts w:ascii="宋体" w:hAnsi="宋体"/>
          <w:b/>
          <w:color w:val="auto"/>
          <w:sz w:val="56"/>
          <w:szCs w:val="56"/>
        </w:rPr>
      </w:pPr>
      <w:r>
        <w:rPr>
          <w:rFonts w:hint="eastAsia" w:ascii="宋体" w:hAnsi="宋体"/>
          <w:b/>
          <w:color w:val="auto"/>
          <w:sz w:val="56"/>
          <w:szCs w:val="56"/>
        </w:rPr>
        <w:t>招  标  文  件</w:t>
      </w:r>
    </w:p>
    <w:p>
      <w:pPr>
        <w:ind w:firstLine="1512" w:firstLineChars="630"/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518" w:firstLineChars="630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054" w:firstLineChars="350"/>
        <w:jc w:val="center"/>
        <w:textAlignment w:val="baseline"/>
        <w:rPr>
          <w:rStyle w:val="21"/>
          <w:rFonts w:hint="default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招标人：河北建工智能科技有限公司</w:t>
      </w: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sectPr>
          <w:footerReference r:id="rId3" w:type="default"/>
          <w:pgSz w:w="11906" w:h="16838"/>
          <w:pgMar w:top="850" w:right="1800" w:bottom="85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2023年08月15日</w:t>
      </w: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  <w:r>
        <w:rPr>
          <w:rFonts w:hint="eastAsia" w:ascii="宋体" w:hAnsi="宋体"/>
          <w:b/>
          <w:color w:val="auto"/>
          <w:sz w:val="40"/>
          <w:szCs w:val="40"/>
        </w:rPr>
        <w:t>总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目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录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投标须知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招标清单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32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topLinePunct w:val="0"/>
            <w:bidi w:val="0"/>
            <w:snapToGrid/>
            <w:spacing w:line="1400" w:lineRule="exact"/>
            <w:rPr>
              <w:rFonts w:hint="eastAsia"/>
              <w:lang w:val="en-US" w:eastAsia="zh-CN"/>
            </w:rPr>
          </w:pPr>
        </w:p>
      </w:sdtContent>
    </w:sdt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bookmarkStart w:id="0" w:name="_Toc31454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一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招标公告</w:t>
      </w:r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河北省第七届（定州）园林博览会主展馆项目EPC总承包弱电项目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公共广播及会议系统设备采购招标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河北建工智能科技有限公司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现对河北省第七届（定州）园林博览会主展馆项目EPC总承包弱电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进行公共广播及会议系统设备采购招标，欢迎符合条件的承包人参加投标。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1" w:name="_Toc32709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招标条件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本项目为河北省第七届（定州）园林博览会主展馆项目EPC总承包弱电项目公共广播及会议系统设备采购招标，招标编号:20230815-013。招标人为河北建工智能科技有限公司。本项目已具备招标条件，现对该项目进行公开招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2" w:name="_Toc11322"/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投标人资格要求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2.1具有独立法人资格和有效的营业执照、具有相应工程材料的供应能力，且在人员、设备、资金等方面具有相应的履约能力；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2.2单位负责人为同一人或者存在直接控股、管理关系的不同投标人，不得参加同一合同项下的投标；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2.3本次招标不接受联合体投标；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3" w:name="_Toc2689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8"/>
          <w:szCs w:val="28"/>
        </w:rPr>
        <w:t>招标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清单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详见后附。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4" w:name="_Toc2071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4、付款</w:t>
      </w:r>
      <w:bookmarkEnd w:id="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说明</w:t>
      </w:r>
    </w:p>
    <w:p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bookmarkStart w:id="5" w:name="_Toc20374"/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此报价包含运费，运输至甲方指定位置。</w:t>
      </w:r>
    </w:p>
    <w:p>
      <w:pPr>
        <w:pStyle w:val="2"/>
        <w:numPr>
          <w:ilvl w:val="0"/>
          <w:numId w:val="3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此报价含13%增值税。</w:t>
      </w:r>
    </w:p>
    <w:p>
      <w:pPr>
        <w:pStyle w:val="2"/>
        <w:numPr>
          <w:ilvl w:val="0"/>
          <w:numId w:val="3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此报价包含调试费。</w:t>
      </w:r>
    </w:p>
    <w:p>
      <w:pPr>
        <w:pStyle w:val="2"/>
        <w:numPr>
          <w:ilvl w:val="0"/>
          <w:numId w:val="3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质保期两年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5、付款方式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货到现场</w:t>
      </w: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安装调试完成后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个月账期）付100%</w:t>
      </w: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6、招投标时间</w:t>
      </w:r>
      <w:bookmarkEnd w:id="5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招标公告公示时间：2023年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日-2023年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报名截至时间：    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日，下午1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:00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公司地址：河北省石家庄市石获南路66号建工大厦A座9楼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联系人：贾建波（技术负责人）       联系电话：18031127705       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曹赛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（现场负责人）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联系电话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15373953556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任晓雯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（注册报价问题）  联系电话：15132175966</w:t>
      </w: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95"/>
        </w:tabs>
        <w:bidi w:val="0"/>
        <w:jc w:val="left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 xml:space="preserve"> </w:t>
      </w:r>
      <w:bookmarkStart w:id="6" w:name="_Toc15693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投标须知</w:t>
      </w:r>
      <w:bookmarkEnd w:id="6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7" w:name="_Toc20868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1、投标须知前附表</w:t>
      </w:r>
      <w:bookmarkEnd w:id="7"/>
    </w:p>
    <w:tbl>
      <w:tblPr>
        <w:tblStyle w:val="11"/>
        <w:tblpPr w:leftFromText="180" w:rightFromText="180" w:vertAnchor="text" w:horzAnchor="page" w:tblpX="1441" w:tblpY="363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58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     目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说 明 和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招标内容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公共广播及会议系统设备。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工程地址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定州。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合格，质保期2年。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供货时间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中标签订合同后3-5日内，根据项目进度要求进行供货。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公共广播及会议系统设备。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计价方式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投标人资质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等级要求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投标人具有独立法人资格，具有一般纳税人资格，能够提供13%税率增值税专用发票；持有工商管理部门核发的营业执照；投标人具有良好的商业信誉。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投标保证金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0元（招标截至日前付款）。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1.开标前将报价清单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(7页-31页)按第一轮报价及营业执照、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代理资格证书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（厂家不需要提供）、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安全生产许可证（如有请提供）、资质证书（如有请提供）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instrText xml:space="preserve"> HYPERLINK "mailto:议标时携带纸质版分项报价清单并加盖公章并发送至公司邮箱jgznkj2023@163.com"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加盖单位公章发送至公司邮箱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jgznkj2023@163.com。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（邮件格式：项目名称+单位名称+联系人姓名+联系电话）。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2.网站报价只填报各区域总价。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公开招标，网上竞价，先招后议。投标人在网标平台进行注册，开通投标登陆账号，并由中采网进行指导。本次投标在中采网招标平台上进行。平台网址为：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"http://webbiao.com"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http://webbiao.com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。网上开标结束后，招标人组织入围的投标人进行谈判，最终确定中标人。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谈判时间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2023年8月21日，下午14:00。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开标程序分为网上竞价阶段和谈判阶段。投标单位应不少于3家，少于3家时延长报名时间，不少于3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家时再开标。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1、竞价阶段：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在电子商务平台综合评标系统进行投标。采用投标报价高位淘汰方式。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第一阶段：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2023年8月21日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（第一阶段截止，根据价格高低排名，平台自动按照70%*报价家数（小数向上取整）进入到第二阶段）；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第二阶段：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2023年8月21日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（第二阶段截止，平台默认为3家）；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2、谈判阶段：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进入谈判阶段的投标单位需携带加盖公章的第二轮分项报价表。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评标办法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网标入围后公司议标，议标地址：石家庄市桥西区石获南路66号建工大厦A座河北建工智能科技有限公司9层。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确定中标人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进入谈判阶段后，招标人根据投标单位的报价、商业信誉、资金实力等择优选择中标人，招标人不承诺最低价中标。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中标人材料进场所需报验资料要求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1.包含到场产品的第三方检测报告（有效期三年内）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2.合格证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3.厂家营业执照（盖公章）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4.厂家产品生产许可证（盖公章）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货至现场需同时提供以上所需报验资料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联系方法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贾建波（技术负责人）        联系电话：18031127705       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曹赛  （现场负责人）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联系电话：15373953556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任晓雯 （注册报价问题）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联系电话：15132175966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-200" w:leftChars="0" w:firstLine="200" w:firstLineChars="0"/>
        <w:jc w:val="center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招标清单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清单内技术参数可供参考，可使用自己的技术参数，以满足图纸的要求。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11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A剧场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B文化中心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C体育馆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D全民健身中心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H花冠及附属设施楼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85"/>
        <w:gridCol w:w="2620"/>
        <w:gridCol w:w="674"/>
        <w:gridCol w:w="853"/>
        <w:gridCol w:w="816"/>
        <w:gridCol w:w="816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A剧场会议及公共广播系统设备招标清单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58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分控设备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1.名称:远程寻呼站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1.名称:分控软件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525"/>
        <w:gridCol w:w="2717"/>
        <w:gridCol w:w="761"/>
        <w:gridCol w:w="686"/>
        <w:gridCol w:w="844"/>
        <w:gridCol w:w="81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B文化中心会议及公共广播系统设备招标清单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分控设备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1.名称:远程寻呼站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1.名称:分控软件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1.名称:IP防水音柱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2.规格:60W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多功能厅88人（124.64平米）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多功能厅91人（129.36平米）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多功能厅172人（246.36平米）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2.类别:辅助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2.类别:主扩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B1~B2/BL-BK轴会议室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报告厅90人（155.23平米）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2.类别:辅助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2.类别:主扩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报告厅132人（172.32平米）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2.类别:辅助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2.类别:主扩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B1~B2/BM-BN轴会议室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B3~B4/BH-BJ轴会议室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小报告厅64人（153.04平米）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2.类别:辅助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2.类别:主扩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B16~B18/BP-BQ轴会议室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atLeas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137"/>
        <w:gridCol w:w="2546"/>
        <w:gridCol w:w="781"/>
        <w:gridCol w:w="975"/>
        <w:gridCol w:w="898"/>
        <w:gridCol w:w="898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C体育馆会议及公共广播系统设备招标清单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7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1.名称:数字网络广播主机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1.名称:广播系统软件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1.名称:远程寻呼站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1.名称:DVD/CD/VCD/MP3播放器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1.名称:音频输入单元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1.名称:IP音频采集器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2.类别:模拟音频转为网络音频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1.名称:电源管理器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2.类别:电源管理器给主控机柜设备供电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1.名称:音源单元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1.名称:广播分控电脑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2.规格:I5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2.类别:莲花（RCA）-莲花（RCA）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2.类别:3.5mm-莲花（RCA）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7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新闻发布厅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1.名称:话筒天线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2.类别:1.显示屏：OLED屏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2.尺寸(LxWxH)：120*104*43mm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4.无线频率范围：5.15GHz~5.85GHz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5.电池容量：5200mAh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6.重量：0.6Kg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7.发言模式工作时长：15小时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8.混合模式工作时长：16小时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9.咪杆长度：380mm（黑色）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10.麦克风类型：心型指向性驻极体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12.麦克风输入阻抗：1KΩ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13.灵敏度：-36±1.5dB (0dB=1V/Pa,at 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14.最大SPL：100dB(THD&gt;3%)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16.串扰：&gt;70dB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18.THD：&lt;0.1%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19.最大功耗：1W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20.供电方式：18650锂电池供电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21.充电方式：通过TYPE-C接口，连接充电箱充电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22.颜色：石墨灰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23.签到功能：触摸按键签到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1.名称:会议单元充电箱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2.类别:输入电压：100-240V AC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充电接口（USB）：10个/200W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充电电压：5V/9V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充电电流：2A（最大）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尺寸（长×宽×高）：245×140×65(mm)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重量：1.68kg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1.名称:会议AP发射器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2.类别:1.PoE：支持802.3at/bt以太网供电标准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2.天线：内置矩阵式智能天线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3.状态指示灯：1*系统灯：Blue，正常上线：常亮，未激活：闪烁，设备上电异常：系统灯灭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4.以太网口：1个10/100/1000M电口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5.Console口：1个RJ45口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6.发射功率：≤20dBm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7.可调节功率粒度：1dBm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8.可调功率范围：1dBm~相应国家规定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9.功耗：＜14.85W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10.复位/恢复出厂设置：支持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11.适配器供电：12V/2A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12.工作/存储温度：0℃～45℃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13.工作/存储湿度：10%～90%RH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14.重量：0.473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15.尺寸：195*195*43mm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4"/>
        <w:gridCol w:w="1455"/>
        <w:gridCol w:w="836"/>
        <w:gridCol w:w="1051"/>
        <w:gridCol w:w="1092"/>
        <w:gridCol w:w="910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D全民健身中心会议及公共广播系统设备招标清单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5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分控设备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1.名称:远程寻呼站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1.名称:分控软件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1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74"/>
        <w:gridCol w:w="2569"/>
        <w:gridCol w:w="689"/>
        <w:gridCol w:w="860"/>
        <w:gridCol w:w="816"/>
        <w:gridCol w:w="816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E会展中心会议及公共广播系统设备招标清单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5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分控设备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1.名称:远程寻呼站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1.名称:分控软件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5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ind w:firstLine="230" w:firstLineChars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26"/>
        <w:gridCol w:w="2823"/>
        <w:gridCol w:w="755"/>
        <w:gridCol w:w="680"/>
        <w:gridCol w:w="954"/>
        <w:gridCol w:w="10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H花冠及附属设施会议及公共广播系统设备招标清单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1.名称:IP网络功放120W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中会议室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1.名称:专业音箱支架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1.名称:专业功放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1.名称:音频处理器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1.名称:调音台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1.名称:手持无线话筒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2.类别:含1套无线接收主机和2只无线手持话筒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1.名称:会议录播主机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1.名称:视频会议终端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1.名称:话筒处理器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1.名称:会议系统主机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2.类别:1.功耗:1.5W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2.网口规范:IEEE802.3、 IEEE802.3u、IEEE802.3x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 :六芯口供电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4.颜色:金色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5.底盒尺寸(LxWxH):100x100x45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6.面板尺寸(LxWxH):124x120x7.6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7.重量:约0.6kg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8.安装方式:地面式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9.工作温度:-10℃~+45℃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10.工作湿度:20%～80%相对湿度，无结露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11.扩展网络接口：支持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12.防水泥功能：支持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13.连接方式：一进三出，可以实现手拉手级联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2.类别:1.颜色：黑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2.签到功能：电容按键签到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3.供电方式：会议主机供电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4.接口：2*级联网口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6.麦克风类型：驻极体电容式传声器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7.频率响应：80Hz~16KHz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8.信噪比：&gt;80dB(A)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9.灵敏度：-34±2dB(0dB=1V/Pa,at1KHz)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10.最大功耗：2W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11.动态范围：&gt;80dB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12.THD：&lt;0.3%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13.尺寸(LxWxH)：113×100×36mm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14.重量：0.8kg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1.名称:中控主机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1.名称:无线路由器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1.名称:平板电脑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1.名称:24口网络交换机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1.名称:电源控制器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矩阵系统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1.名称:高清矩阵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1.名称:高清摄像机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1.名称:桌插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1.名称:矩阵控制面板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跳线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1.名称:音频跳线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1.名称:会议延长线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2.型号:1*6芯航空线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1.名称:无线同屏器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1.名称:多媒体桌插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FEB29"/>
    <w:multiLevelType w:val="singleLevel"/>
    <w:tmpl w:val="B8DFEB29"/>
    <w:lvl w:ilvl="0" w:tentative="0">
      <w:start w:val="1"/>
      <w:numFmt w:val="chineseCounting"/>
      <w:suff w:val="nothing"/>
      <w:lvlText w:val="%1、"/>
      <w:lvlJc w:val="left"/>
      <w:pPr>
        <w:ind w:left="-398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0B0661A4"/>
    <w:multiLevelType w:val="singleLevel"/>
    <w:tmpl w:val="0B0661A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4742A4"/>
    <w:multiLevelType w:val="multilevel"/>
    <w:tmpl w:val="6F4742A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60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6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8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0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40"/>
        </w:tabs>
        <w:ind w:left="33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2NmQ1N2FkMTNhNzE2NWI0MjA1NmUwN2U0MGEifQ=="/>
  </w:docVars>
  <w:rsids>
    <w:rsidRoot w:val="0CF12AD2"/>
    <w:rsid w:val="001C2592"/>
    <w:rsid w:val="0039369B"/>
    <w:rsid w:val="005112AB"/>
    <w:rsid w:val="00716D74"/>
    <w:rsid w:val="007B0A12"/>
    <w:rsid w:val="0089189B"/>
    <w:rsid w:val="008965DD"/>
    <w:rsid w:val="00C41D29"/>
    <w:rsid w:val="00DD18E8"/>
    <w:rsid w:val="0349735F"/>
    <w:rsid w:val="05945B45"/>
    <w:rsid w:val="065B15E4"/>
    <w:rsid w:val="06720547"/>
    <w:rsid w:val="06954AF6"/>
    <w:rsid w:val="074402CA"/>
    <w:rsid w:val="07E8781C"/>
    <w:rsid w:val="095E7F01"/>
    <w:rsid w:val="09A760DD"/>
    <w:rsid w:val="0AFC1ABC"/>
    <w:rsid w:val="0B27418B"/>
    <w:rsid w:val="0B5625F2"/>
    <w:rsid w:val="0C012C2E"/>
    <w:rsid w:val="0CF12AD2"/>
    <w:rsid w:val="0E2A4099"/>
    <w:rsid w:val="0E302588"/>
    <w:rsid w:val="0E481CA2"/>
    <w:rsid w:val="0EB74F3E"/>
    <w:rsid w:val="0EC709B9"/>
    <w:rsid w:val="0F5A68DD"/>
    <w:rsid w:val="0FDF5034"/>
    <w:rsid w:val="0FF334F9"/>
    <w:rsid w:val="103435D2"/>
    <w:rsid w:val="12AD766B"/>
    <w:rsid w:val="13C94031"/>
    <w:rsid w:val="144E2788"/>
    <w:rsid w:val="14CF38C9"/>
    <w:rsid w:val="157306F8"/>
    <w:rsid w:val="1594066F"/>
    <w:rsid w:val="15D94733"/>
    <w:rsid w:val="1706734A"/>
    <w:rsid w:val="172577D0"/>
    <w:rsid w:val="17800B01"/>
    <w:rsid w:val="19324427"/>
    <w:rsid w:val="193F5F3A"/>
    <w:rsid w:val="1A217A0B"/>
    <w:rsid w:val="1DE67365"/>
    <w:rsid w:val="1FF40688"/>
    <w:rsid w:val="20BF4E11"/>
    <w:rsid w:val="20F36B91"/>
    <w:rsid w:val="2127683B"/>
    <w:rsid w:val="2194574D"/>
    <w:rsid w:val="21B97558"/>
    <w:rsid w:val="221C3EC6"/>
    <w:rsid w:val="22E41A99"/>
    <w:rsid w:val="2378337E"/>
    <w:rsid w:val="23A72EC6"/>
    <w:rsid w:val="241711B6"/>
    <w:rsid w:val="24883A94"/>
    <w:rsid w:val="257162D7"/>
    <w:rsid w:val="275B2D9A"/>
    <w:rsid w:val="27734588"/>
    <w:rsid w:val="28281DAC"/>
    <w:rsid w:val="28B135BA"/>
    <w:rsid w:val="29AC5B2F"/>
    <w:rsid w:val="29B965A2"/>
    <w:rsid w:val="29BD61FD"/>
    <w:rsid w:val="2A38207C"/>
    <w:rsid w:val="2A5C1303"/>
    <w:rsid w:val="2AC142D6"/>
    <w:rsid w:val="2AED0047"/>
    <w:rsid w:val="2B8B6B23"/>
    <w:rsid w:val="2B8F74B6"/>
    <w:rsid w:val="2BE76971"/>
    <w:rsid w:val="2E093550"/>
    <w:rsid w:val="2F8F3F29"/>
    <w:rsid w:val="31ED601C"/>
    <w:rsid w:val="32087FC3"/>
    <w:rsid w:val="321B7CF6"/>
    <w:rsid w:val="334528CA"/>
    <w:rsid w:val="34594B05"/>
    <w:rsid w:val="352C53CF"/>
    <w:rsid w:val="36DE12F2"/>
    <w:rsid w:val="370E607B"/>
    <w:rsid w:val="383036B5"/>
    <w:rsid w:val="38D34C9F"/>
    <w:rsid w:val="395D2CB1"/>
    <w:rsid w:val="3AF1503F"/>
    <w:rsid w:val="3B6B3A9C"/>
    <w:rsid w:val="3BB56AC5"/>
    <w:rsid w:val="3BBC60A6"/>
    <w:rsid w:val="3C0A70F9"/>
    <w:rsid w:val="3C850B8E"/>
    <w:rsid w:val="3CA01523"/>
    <w:rsid w:val="3D122592"/>
    <w:rsid w:val="3E012496"/>
    <w:rsid w:val="41067DC3"/>
    <w:rsid w:val="418A27A2"/>
    <w:rsid w:val="4329074B"/>
    <w:rsid w:val="44D449C8"/>
    <w:rsid w:val="46A2233C"/>
    <w:rsid w:val="495F0F23"/>
    <w:rsid w:val="4CC81C66"/>
    <w:rsid w:val="4D2515D1"/>
    <w:rsid w:val="4D2E2B7B"/>
    <w:rsid w:val="4E6600F3"/>
    <w:rsid w:val="4E9702AC"/>
    <w:rsid w:val="4EA66F41"/>
    <w:rsid w:val="4EB42C0C"/>
    <w:rsid w:val="4ED71B04"/>
    <w:rsid w:val="4FCD65BA"/>
    <w:rsid w:val="50E377D9"/>
    <w:rsid w:val="5151508A"/>
    <w:rsid w:val="51C413B8"/>
    <w:rsid w:val="530A54F1"/>
    <w:rsid w:val="531E0F9C"/>
    <w:rsid w:val="562C39D0"/>
    <w:rsid w:val="56B22127"/>
    <w:rsid w:val="57087F99"/>
    <w:rsid w:val="5801427C"/>
    <w:rsid w:val="5826241E"/>
    <w:rsid w:val="584A6390"/>
    <w:rsid w:val="59213594"/>
    <w:rsid w:val="59C97EB4"/>
    <w:rsid w:val="5B885B4D"/>
    <w:rsid w:val="5D881E34"/>
    <w:rsid w:val="5F761FFC"/>
    <w:rsid w:val="5F7A72EF"/>
    <w:rsid w:val="608F5287"/>
    <w:rsid w:val="61F01D56"/>
    <w:rsid w:val="625E3163"/>
    <w:rsid w:val="62E25B42"/>
    <w:rsid w:val="64EE6A20"/>
    <w:rsid w:val="661650B5"/>
    <w:rsid w:val="66CF4630"/>
    <w:rsid w:val="67B0620F"/>
    <w:rsid w:val="67C717AB"/>
    <w:rsid w:val="67E30FAE"/>
    <w:rsid w:val="68077DF9"/>
    <w:rsid w:val="6AB85DB6"/>
    <w:rsid w:val="6AC74D83"/>
    <w:rsid w:val="6B142F59"/>
    <w:rsid w:val="6C6770B8"/>
    <w:rsid w:val="6D3C6797"/>
    <w:rsid w:val="6DA700B4"/>
    <w:rsid w:val="6E3B25AB"/>
    <w:rsid w:val="6EBF4F8A"/>
    <w:rsid w:val="6F314A06"/>
    <w:rsid w:val="6FB12048"/>
    <w:rsid w:val="6FF03FA1"/>
    <w:rsid w:val="70934920"/>
    <w:rsid w:val="718F7AEF"/>
    <w:rsid w:val="71A76CB4"/>
    <w:rsid w:val="721E46BD"/>
    <w:rsid w:val="72930CA2"/>
    <w:rsid w:val="7376110B"/>
    <w:rsid w:val="73AA0E77"/>
    <w:rsid w:val="73DA0910"/>
    <w:rsid w:val="7600537F"/>
    <w:rsid w:val="762F6E99"/>
    <w:rsid w:val="76CE0460"/>
    <w:rsid w:val="77AD62C7"/>
    <w:rsid w:val="78AF7930"/>
    <w:rsid w:val="7A574C10"/>
    <w:rsid w:val="7AC51B7A"/>
    <w:rsid w:val="7BC662BD"/>
    <w:rsid w:val="7C716328"/>
    <w:rsid w:val="7CDB7E00"/>
    <w:rsid w:val="7DC11107"/>
    <w:rsid w:val="7E4121CA"/>
    <w:rsid w:val="7E6F077A"/>
    <w:rsid w:val="7EC55C1F"/>
    <w:rsid w:val="7FAF4BA7"/>
    <w:rsid w:val="7FB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200" w:firstLineChars="200"/>
    </w:pPr>
  </w:style>
  <w:style w:type="paragraph" w:styleId="3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5">
    <w:name w:val="Body Text"/>
    <w:basedOn w:val="1"/>
    <w:next w:val="6"/>
    <w:qFormat/>
    <w:uiPriority w:val="99"/>
    <w:pPr>
      <w:spacing w:line="0" w:lineRule="atLeast"/>
    </w:pPr>
    <w:rPr>
      <w:sz w:val="30"/>
    </w:rPr>
  </w:style>
  <w:style w:type="paragraph" w:customStyle="1" w:styleId="6">
    <w:name w:val="_Style 2"/>
    <w:basedOn w:val="4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9431</Words>
  <Characters>12304</Characters>
  <Lines>4</Lines>
  <Paragraphs>1</Paragraphs>
  <TotalTime>204</TotalTime>
  <ScaleCrop>false</ScaleCrop>
  <LinksUpToDate>false</LinksUpToDate>
  <CharactersWithSpaces>12446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2023-02-28T09:27:00Z</dcterms:created>
  <dc:creator>Administrator</dc:creator>
  <cp:lastModifiedBy>WPS_1642145498</cp:lastModifiedBy>
  <cp:lastPrinted>2023-08-15T06:38:00Z</cp:lastPrinted>
  <dcterms:modified xsi:type="dcterms:W3CDTF">2023-08-15T07:10:35Z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8739177DAE6D49958CB0E36A403A3649_13</vt:lpwstr>
  </property>
</Properties>
</file>