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line="360" w:lineRule="auto"/>
        <w:jc w:val="center"/>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color w:val="auto"/>
          <w:kern w:val="0"/>
          <w:sz w:val="36"/>
          <w:szCs w:val="36"/>
          <w:highlight w:val="none"/>
          <w:u w:val="single"/>
          <w:lang w:val="en-US" w:eastAsia="zh-CN"/>
        </w:rPr>
        <w:t>河北省科学技术厅办公业务用房改造修缮项目</w:t>
      </w:r>
    </w:p>
    <w:p>
      <w:pPr>
        <w:pStyle w:val="17"/>
        <w:rPr>
          <w:rFonts w:hint="eastAsia"/>
        </w:rPr>
      </w:pPr>
    </w:p>
    <w:p>
      <w:pPr>
        <w:spacing w:before="120" w:after="120" w:line="360" w:lineRule="auto"/>
        <w:jc w:val="center"/>
        <w:rPr>
          <w:rFonts w:hint="eastAsia" w:ascii="黑体" w:hAnsi="黑体" w:eastAsia="黑体" w:cs="黑体"/>
          <w:b/>
          <w:color w:val="auto"/>
          <w:sz w:val="72"/>
          <w:szCs w:val="72"/>
          <w:highlight w:val="none"/>
        </w:rPr>
      </w:pPr>
    </w:p>
    <w:p>
      <w:pPr>
        <w:spacing w:before="120" w:after="120" w:line="360" w:lineRule="auto"/>
        <w:jc w:val="center"/>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rPr>
        <w:t>招 标 文 件</w:t>
      </w:r>
    </w:p>
    <w:p>
      <w:pPr>
        <w:ind w:firstLine="1764" w:firstLineChars="630"/>
        <w:rPr>
          <w:rFonts w:hint="eastAsia" w:ascii="黑体" w:hAnsi="黑体" w:eastAsia="黑体" w:cs="黑体"/>
          <w:color w:val="auto"/>
          <w:sz w:val="28"/>
          <w:highlight w:val="none"/>
        </w:rPr>
      </w:pPr>
    </w:p>
    <w:p>
      <w:pPr>
        <w:ind w:firstLine="1771" w:firstLineChars="630"/>
        <w:jc w:val="center"/>
        <w:rPr>
          <w:rFonts w:hint="eastAsia" w:ascii="黑体" w:hAnsi="黑体" w:eastAsia="黑体" w:cs="黑体"/>
          <w:b/>
          <w:color w:val="auto"/>
          <w:sz w:val="28"/>
          <w:szCs w:val="28"/>
          <w:highlight w:val="none"/>
        </w:rPr>
      </w:pPr>
    </w:p>
    <w:p>
      <w:pPr>
        <w:jc w:val="center"/>
        <w:rPr>
          <w:rFonts w:hint="eastAsia" w:ascii="黑体" w:hAnsi="黑体" w:eastAsia="黑体" w:cs="黑体"/>
          <w:color w:val="auto"/>
          <w:sz w:val="24"/>
          <w:highlight w:val="none"/>
        </w:rPr>
      </w:pPr>
    </w:p>
    <w:p>
      <w:pPr>
        <w:jc w:val="center"/>
        <w:rPr>
          <w:rFonts w:hint="eastAsia" w:ascii="黑体" w:hAnsi="黑体" w:eastAsia="黑体" w:cs="黑体"/>
          <w:color w:val="auto"/>
          <w:sz w:val="24"/>
          <w:highlight w:val="none"/>
        </w:rPr>
      </w:pPr>
    </w:p>
    <w:p>
      <w:pPr>
        <w:jc w:val="center"/>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pStyle w:val="2"/>
        <w:rPr>
          <w:rFonts w:hint="eastAsia" w:ascii="黑体" w:hAnsi="黑体" w:eastAsia="黑体" w:cs="黑体"/>
          <w:color w:val="auto"/>
          <w:sz w:val="24"/>
          <w:highlight w:val="none"/>
        </w:rPr>
      </w:pPr>
    </w:p>
    <w:p>
      <w:pPr>
        <w:pStyle w:val="2"/>
        <w:rPr>
          <w:rFonts w:hint="eastAsia" w:ascii="黑体" w:hAnsi="黑体" w:eastAsia="黑体" w:cs="黑体"/>
          <w:color w:val="auto"/>
          <w:sz w:val="24"/>
          <w:highlight w:val="none"/>
        </w:rPr>
      </w:pPr>
    </w:p>
    <w:p>
      <w:pPr>
        <w:pStyle w:val="2"/>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adjustRightInd w:val="0"/>
        <w:snapToGrid w:val="0"/>
        <w:spacing w:line="600" w:lineRule="auto"/>
        <w:jc w:val="center"/>
        <w:rPr>
          <w:rFonts w:hint="eastAsia" w:ascii="黑体" w:hAnsi="黑体" w:eastAsia="黑体" w:cs="黑体"/>
          <w:color w:val="auto"/>
          <w:spacing w:val="12"/>
          <w:sz w:val="28"/>
          <w:szCs w:val="28"/>
          <w:highlight w:val="none"/>
        </w:rPr>
      </w:pPr>
      <w:r>
        <w:rPr>
          <w:rFonts w:hint="eastAsia" w:ascii="黑体" w:hAnsi="黑体" w:eastAsia="黑体" w:cs="黑体"/>
          <w:color w:val="auto"/>
          <w:spacing w:val="24"/>
          <w:sz w:val="28"/>
          <w:szCs w:val="28"/>
          <w:highlight w:val="none"/>
        </w:rPr>
        <w:t>招标</w:t>
      </w:r>
      <w:r>
        <w:rPr>
          <w:rFonts w:hint="eastAsia" w:ascii="黑体" w:hAnsi="黑体" w:eastAsia="黑体" w:cs="黑体"/>
          <w:color w:val="auto"/>
          <w:spacing w:val="12"/>
          <w:sz w:val="28"/>
          <w:szCs w:val="28"/>
          <w:highlight w:val="none"/>
        </w:rPr>
        <w:t>人</w:t>
      </w:r>
      <w:r>
        <w:rPr>
          <w:rFonts w:hint="eastAsia" w:ascii="黑体" w:hAnsi="黑体" w:eastAsia="黑体" w:cs="黑体"/>
          <w:color w:val="auto"/>
          <w:sz w:val="28"/>
          <w:szCs w:val="28"/>
          <w:highlight w:val="none"/>
        </w:rPr>
        <w:t>：</w:t>
      </w:r>
      <w:r>
        <w:rPr>
          <w:rFonts w:hint="eastAsia" w:ascii="黑体" w:hAnsi="黑体" w:eastAsia="黑体" w:cs="黑体"/>
          <w:color w:val="auto"/>
          <w:spacing w:val="12"/>
          <w:sz w:val="28"/>
          <w:szCs w:val="28"/>
          <w:highlight w:val="none"/>
        </w:rPr>
        <w:t>河北建工集团</w:t>
      </w:r>
      <w:r>
        <w:rPr>
          <w:rFonts w:hint="eastAsia" w:ascii="黑体" w:hAnsi="黑体" w:eastAsia="黑体" w:cs="黑体"/>
          <w:color w:val="auto"/>
          <w:spacing w:val="12"/>
          <w:sz w:val="28"/>
          <w:szCs w:val="28"/>
          <w:highlight w:val="none"/>
          <w:lang w:val="en-US" w:eastAsia="zh-CN"/>
        </w:rPr>
        <w:t>建筑装饰工程</w:t>
      </w:r>
      <w:r>
        <w:rPr>
          <w:rFonts w:hint="eastAsia" w:ascii="黑体" w:hAnsi="黑体" w:eastAsia="黑体" w:cs="黑体"/>
          <w:color w:val="auto"/>
          <w:spacing w:val="12"/>
          <w:sz w:val="28"/>
          <w:szCs w:val="28"/>
          <w:highlight w:val="none"/>
        </w:rPr>
        <w:t>有限公司</w:t>
      </w:r>
    </w:p>
    <w:p>
      <w:pPr>
        <w:jc w:val="center"/>
        <w:rPr>
          <w:rFonts w:hint="eastAsia" w:ascii="黑体" w:hAnsi="黑体" w:eastAsia="黑体" w:cs="黑体"/>
          <w:b/>
          <w:color w:val="auto"/>
          <w:sz w:val="52"/>
          <w:szCs w:val="52"/>
          <w:highlight w:val="none"/>
        </w:rPr>
      </w:pPr>
      <w:r>
        <w:rPr>
          <w:rFonts w:hint="eastAsia" w:ascii="黑体" w:hAnsi="黑体" w:eastAsia="黑体" w:cs="黑体"/>
          <w:color w:val="auto"/>
          <w:spacing w:val="12"/>
          <w:sz w:val="36"/>
          <w:szCs w:val="36"/>
          <w:highlight w:val="none"/>
        </w:rPr>
        <w:t>20</w:t>
      </w:r>
      <w:r>
        <w:rPr>
          <w:rFonts w:hint="eastAsia" w:ascii="黑体" w:hAnsi="黑体" w:eastAsia="黑体" w:cs="黑体"/>
          <w:color w:val="auto"/>
          <w:spacing w:val="12"/>
          <w:sz w:val="36"/>
          <w:szCs w:val="36"/>
          <w:highlight w:val="none"/>
          <w:lang w:val="en-US" w:eastAsia="zh-CN"/>
        </w:rPr>
        <w:t>23</w:t>
      </w:r>
      <w:r>
        <w:rPr>
          <w:rFonts w:hint="eastAsia" w:ascii="黑体" w:hAnsi="黑体" w:eastAsia="黑体" w:cs="黑体"/>
          <w:color w:val="auto"/>
          <w:spacing w:val="12"/>
          <w:sz w:val="36"/>
          <w:szCs w:val="36"/>
          <w:highlight w:val="none"/>
        </w:rPr>
        <w:t>年</w:t>
      </w:r>
      <w:r>
        <w:rPr>
          <w:rFonts w:hint="eastAsia" w:ascii="黑体" w:hAnsi="黑体" w:eastAsia="黑体" w:cs="黑体"/>
          <w:color w:val="auto"/>
          <w:spacing w:val="12"/>
          <w:sz w:val="36"/>
          <w:szCs w:val="36"/>
          <w:highlight w:val="none"/>
          <w:lang w:val="en-US" w:eastAsia="zh-CN"/>
        </w:rPr>
        <w:t>5</w:t>
      </w:r>
      <w:r>
        <w:rPr>
          <w:rFonts w:hint="eastAsia" w:ascii="黑体" w:hAnsi="黑体" w:eastAsia="黑体" w:cs="黑体"/>
          <w:color w:val="auto"/>
          <w:spacing w:val="12"/>
          <w:sz w:val="36"/>
          <w:szCs w:val="36"/>
          <w:highlight w:val="none"/>
        </w:rPr>
        <w:t>月</w:t>
      </w:r>
      <w:r>
        <w:rPr>
          <w:rFonts w:hint="eastAsia" w:ascii="黑体" w:hAnsi="黑体" w:eastAsia="黑体" w:cs="黑体"/>
          <w:b/>
          <w:color w:val="auto"/>
          <w:sz w:val="36"/>
          <w:szCs w:val="36"/>
          <w:highlight w:val="none"/>
          <w:u w:val="single"/>
        </w:rPr>
        <w:br w:type="page"/>
      </w:r>
      <w:r>
        <w:rPr>
          <w:rFonts w:hint="eastAsia" w:ascii="黑体" w:hAnsi="黑体" w:eastAsia="黑体" w:cs="黑体"/>
          <w:b/>
          <w:color w:val="auto"/>
          <w:sz w:val="52"/>
          <w:szCs w:val="52"/>
          <w:highlight w:val="none"/>
        </w:rPr>
        <w:t>目    录</w:t>
      </w:r>
    </w:p>
    <w:p>
      <w:pPr>
        <w:rPr>
          <w:rFonts w:hint="eastAsia" w:ascii="黑体" w:hAnsi="黑体" w:eastAsia="黑体" w:cs="黑体"/>
          <w:b/>
          <w:color w:val="auto"/>
          <w:sz w:val="52"/>
          <w:szCs w:val="52"/>
          <w:highlight w:val="none"/>
        </w:rPr>
      </w:pPr>
    </w:p>
    <w:p>
      <w:pPr>
        <w:ind w:left="731" w:leftChars="348"/>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一、招标公告</w:t>
      </w:r>
    </w:p>
    <w:p>
      <w:pPr>
        <w:ind w:left="731" w:leftChars="348"/>
        <w:rPr>
          <w:rFonts w:hint="eastAsia" w:ascii="黑体" w:hAnsi="黑体" w:eastAsia="黑体" w:cs="黑体"/>
          <w:b/>
          <w:color w:val="auto"/>
          <w:sz w:val="32"/>
          <w:szCs w:val="32"/>
          <w:highlight w:val="none"/>
        </w:rPr>
      </w:pPr>
    </w:p>
    <w:p>
      <w:pPr>
        <w:ind w:left="731" w:leftChars="348"/>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二、投标须知前附表</w:t>
      </w:r>
    </w:p>
    <w:p>
      <w:pPr>
        <w:ind w:left="731" w:leftChars="348"/>
        <w:rPr>
          <w:rFonts w:hint="eastAsia" w:ascii="黑体" w:hAnsi="黑体" w:eastAsia="黑体" w:cs="黑体"/>
          <w:b/>
          <w:color w:val="auto"/>
          <w:sz w:val="32"/>
          <w:szCs w:val="32"/>
          <w:highlight w:val="none"/>
        </w:rPr>
      </w:pPr>
    </w:p>
    <w:p>
      <w:pPr>
        <w:ind w:left="731" w:leftChars="348"/>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三、投标须知</w:t>
      </w:r>
    </w:p>
    <w:p>
      <w:pPr>
        <w:ind w:left="731" w:leftChars="348"/>
        <w:rPr>
          <w:rFonts w:hint="eastAsia" w:ascii="黑体" w:hAnsi="黑体" w:eastAsia="黑体" w:cs="黑体"/>
          <w:b/>
          <w:color w:val="auto"/>
          <w:sz w:val="32"/>
          <w:szCs w:val="32"/>
          <w:highlight w:val="none"/>
        </w:rPr>
      </w:pPr>
    </w:p>
    <w:p>
      <w:pPr>
        <w:ind w:left="731" w:leftChars="348"/>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四、合同条款</w:t>
      </w:r>
    </w:p>
    <w:p>
      <w:pPr>
        <w:ind w:left="731" w:leftChars="348"/>
        <w:rPr>
          <w:rFonts w:hint="eastAsia" w:ascii="黑体" w:hAnsi="黑体" w:eastAsia="黑体" w:cs="黑体"/>
          <w:b/>
          <w:color w:val="auto"/>
          <w:sz w:val="32"/>
          <w:szCs w:val="32"/>
          <w:highlight w:val="none"/>
        </w:rPr>
      </w:pPr>
    </w:p>
    <w:p>
      <w:pPr>
        <w:ind w:left="731" w:leftChars="348"/>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五、投标文件格式</w:t>
      </w:r>
    </w:p>
    <w:p>
      <w:pPr>
        <w:spacing w:line="360" w:lineRule="auto"/>
        <w:ind w:left="-199" w:leftChars="-95" w:right="-92" w:rightChars="-44" w:firstLine="287" w:firstLineChars="55"/>
        <w:jc w:val="center"/>
        <w:rPr>
          <w:rFonts w:hint="eastAsia" w:ascii="黑体" w:hAnsi="黑体" w:eastAsia="黑体" w:cs="黑体"/>
          <w:b/>
          <w:color w:val="auto"/>
          <w:sz w:val="36"/>
          <w:szCs w:val="36"/>
          <w:highlight w:val="none"/>
        </w:rPr>
      </w:pPr>
      <w:r>
        <w:rPr>
          <w:rFonts w:hint="eastAsia" w:ascii="黑体" w:hAnsi="黑体" w:eastAsia="黑体" w:cs="黑体"/>
          <w:b/>
          <w:color w:val="auto"/>
          <w:sz w:val="52"/>
          <w:szCs w:val="52"/>
          <w:highlight w:val="none"/>
        </w:rPr>
        <w:br w:type="page"/>
      </w:r>
      <w:r>
        <w:rPr>
          <w:rFonts w:hint="eastAsia" w:ascii="黑体" w:hAnsi="黑体" w:eastAsia="黑体" w:cs="黑体"/>
          <w:b/>
          <w:color w:val="auto"/>
          <w:sz w:val="36"/>
          <w:szCs w:val="36"/>
          <w:highlight w:val="none"/>
        </w:rPr>
        <w:t>一、招标公告</w:t>
      </w:r>
    </w:p>
    <w:p>
      <w:pPr>
        <w:keepNext w:val="0"/>
        <w:keepLines w:val="0"/>
        <w:widowControl/>
        <w:suppressLineNumbers w:val="0"/>
        <w:jc w:val="center"/>
      </w:pPr>
      <w:r>
        <w:rPr>
          <w:rFonts w:hint="eastAsia" w:ascii="黑体" w:hAnsi="黑体" w:eastAsia="黑体" w:cs="黑体"/>
          <w:b/>
          <w:color w:val="auto"/>
          <w:kern w:val="0"/>
          <w:sz w:val="36"/>
          <w:szCs w:val="36"/>
          <w:highlight w:val="none"/>
          <w:u w:val="single"/>
          <w:lang w:val="en-US" w:eastAsia="zh-CN"/>
        </w:rPr>
        <w:t>河北省科学技术厅办公业务用房改造修缮项目</w:t>
      </w:r>
    </w:p>
    <w:p>
      <w:pPr>
        <w:pStyle w:val="17"/>
        <w:rPr>
          <w:rFonts w:hint="eastAsia"/>
          <w:lang w:val="en-US" w:eastAsia="zh-CN"/>
        </w:rPr>
      </w:pPr>
    </w:p>
    <w:p>
      <w:pPr>
        <w:spacing w:line="360" w:lineRule="auto"/>
        <w:ind w:left="-199" w:leftChars="-95" w:right="-92" w:rightChars="-44" w:firstLine="166" w:firstLineChars="55"/>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u w:val="single"/>
          <w:lang w:val="en-US" w:eastAsia="zh-CN"/>
        </w:rPr>
        <w:t>消防工程专业</w:t>
      </w:r>
      <w:r>
        <w:rPr>
          <w:rFonts w:hint="eastAsia" w:ascii="黑体" w:hAnsi="黑体" w:eastAsia="黑体" w:cs="黑体"/>
          <w:b/>
          <w:color w:val="auto"/>
          <w:sz w:val="30"/>
          <w:szCs w:val="30"/>
          <w:highlight w:val="none"/>
          <w:u w:val="single"/>
        </w:rPr>
        <w:t>分包</w:t>
      </w:r>
      <w:r>
        <w:rPr>
          <w:rFonts w:hint="eastAsia" w:ascii="黑体" w:hAnsi="黑体" w:eastAsia="黑体" w:cs="黑体"/>
          <w:b/>
          <w:color w:val="auto"/>
          <w:sz w:val="30"/>
          <w:szCs w:val="30"/>
          <w:highlight w:val="none"/>
        </w:rPr>
        <w:t>招标公告</w:t>
      </w:r>
    </w:p>
    <w:p>
      <w:pPr>
        <w:spacing w:line="360" w:lineRule="auto"/>
        <w:ind w:left="-199" w:leftChars="-95" w:right="-92" w:rightChars="-44" w:firstLine="607" w:firstLineChars="253"/>
        <w:jc w:val="left"/>
        <w:rPr>
          <w:rFonts w:hint="eastAsia" w:ascii="黑体" w:hAnsi="黑体" w:eastAsia="黑体" w:cs="黑体"/>
          <w:color w:val="auto"/>
          <w:highlight w:val="none"/>
        </w:rPr>
      </w:pPr>
      <w:r>
        <w:rPr>
          <w:rFonts w:hint="eastAsia" w:ascii="黑体" w:hAnsi="黑体" w:eastAsia="黑体" w:cs="黑体"/>
          <w:color w:val="auto"/>
          <w:sz w:val="24"/>
          <w:szCs w:val="24"/>
          <w:highlight w:val="none"/>
          <w:u w:val="single"/>
          <w:lang w:bidi="ar"/>
        </w:rPr>
        <w:t>河北建工集团</w:t>
      </w:r>
      <w:r>
        <w:rPr>
          <w:rFonts w:hint="eastAsia" w:ascii="黑体" w:hAnsi="黑体" w:eastAsia="黑体" w:cs="黑体"/>
          <w:color w:val="auto"/>
          <w:sz w:val="24"/>
          <w:szCs w:val="24"/>
          <w:highlight w:val="none"/>
          <w:u w:val="single"/>
          <w:lang w:val="en-US" w:eastAsia="zh-CN" w:bidi="ar"/>
        </w:rPr>
        <w:t>建筑装饰工程</w:t>
      </w:r>
      <w:r>
        <w:rPr>
          <w:rFonts w:hint="eastAsia" w:ascii="黑体" w:hAnsi="黑体" w:eastAsia="黑体" w:cs="黑体"/>
          <w:color w:val="auto"/>
          <w:sz w:val="24"/>
          <w:szCs w:val="24"/>
          <w:highlight w:val="none"/>
          <w:u w:val="single"/>
          <w:lang w:bidi="ar"/>
        </w:rPr>
        <w:t>有限公司</w:t>
      </w:r>
      <w:r>
        <w:rPr>
          <w:rFonts w:hint="eastAsia" w:ascii="黑体" w:hAnsi="黑体" w:eastAsia="黑体" w:cs="黑体"/>
          <w:color w:val="auto"/>
          <w:sz w:val="24"/>
          <w:szCs w:val="24"/>
          <w:highlight w:val="none"/>
          <w:lang w:bidi="ar"/>
        </w:rPr>
        <w:t>现对</w:t>
      </w:r>
      <w:r>
        <w:rPr>
          <w:rFonts w:hint="eastAsia" w:ascii="黑体" w:hAnsi="黑体" w:eastAsia="黑体" w:cs="黑体"/>
          <w:color w:val="auto"/>
          <w:sz w:val="24"/>
          <w:szCs w:val="24"/>
          <w:highlight w:val="none"/>
          <w:u w:val="single"/>
          <w:lang w:val="en-US" w:eastAsia="zh-CN" w:bidi="ar"/>
        </w:rPr>
        <w:t>河北省科学技术厅办公业务用房改造修缮项目消防专业</w:t>
      </w:r>
      <w:r>
        <w:rPr>
          <w:rFonts w:hint="eastAsia" w:ascii="黑体" w:hAnsi="黑体" w:eastAsia="黑体" w:cs="黑体"/>
          <w:color w:val="auto"/>
          <w:sz w:val="24"/>
          <w:szCs w:val="24"/>
          <w:highlight w:val="none"/>
          <w:u w:val="single"/>
          <w:lang w:bidi="ar"/>
        </w:rPr>
        <w:t>分包</w:t>
      </w:r>
      <w:r>
        <w:rPr>
          <w:rFonts w:hint="eastAsia" w:ascii="黑体" w:hAnsi="黑体" w:eastAsia="黑体" w:cs="黑体"/>
          <w:color w:val="auto"/>
          <w:sz w:val="24"/>
          <w:szCs w:val="24"/>
          <w:highlight w:val="none"/>
          <w:u w:val="single"/>
          <w:lang w:val="en-US" w:eastAsia="zh-CN" w:bidi="ar"/>
        </w:rPr>
        <w:t>工程</w:t>
      </w:r>
      <w:r>
        <w:rPr>
          <w:rFonts w:hint="eastAsia" w:ascii="黑体" w:hAnsi="黑体" w:eastAsia="黑体" w:cs="黑体"/>
          <w:color w:val="auto"/>
          <w:kern w:val="0"/>
          <w:sz w:val="24"/>
          <w:szCs w:val="24"/>
          <w:highlight w:val="none"/>
          <w:u w:val="none"/>
          <w:lang w:val="en-US" w:eastAsia="zh-CN" w:bidi="ar"/>
        </w:rPr>
        <w:t>进行招标，欢迎符合条件的承包人参加投标。</w:t>
      </w:r>
    </w:p>
    <w:p>
      <w:pPr>
        <w:keepNext w:val="0"/>
        <w:keepLines w:val="0"/>
        <w:pageBreakBefore w:val="0"/>
        <w:widowControl/>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bidi="ar"/>
        </w:rPr>
        <w:t>一、工程名称：</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河北省科学技术厅办公业务用房改造修缮项目消防系统专业分包。</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bidi="ar"/>
        </w:rPr>
        <w:t>工程地点：</w:t>
      </w:r>
      <w:r>
        <w:rPr>
          <w:rFonts w:hint="eastAsia" w:ascii="黑体" w:hAnsi="黑体" w:eastAsia="黑体" w:cs="黑体"/>
          <w:b w:val="0"/>
          <w:bCs w:val="0"/>
          <w:color w:val="auto"/>
          <w:kern w:val="0"/>
          <w:sz w:val="24"/>
          <w:szCs w:val="24"/>
          <w:highlight w:val="none"/>
          <w:u w:val="single"/>
          <w:lang w:val="en-US" w:eastAsia="zh-CN" w:bidi="ar"/>
        </w:rPr>
        <w:t>石家庄市裕华区东风路 159 号。</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bidi="ar"/>
        </w:rPr>
        <w:t>工程概况：</w:t>
      </w:r>
      <w:r>
        <w:rPr>
          <w:rFonts w:hint="eastAsia" w:ascii="黑体" w:hAnsi="黑体" w:eastAsia="黑体" w:cs="黑体"/>
          <w:b w:val="0"/>
          <w:bCs w:val="0"/>
          <w:color w:val="auto"/>
          <w:kern w:val="0"/>
          <w:sz w:val="24"/>
          <w:szCs w:val="24"/>
          <w:highlight w:val="none"/>
          <w:u w:val="single"/>
          <w:lang w:val="en-US" w:eastAsia="zh-CN" w:bidi="ar"/>
        </w:rPr>
        <w:t>总建筑面积10437㎡，地下一层，地上十二层，地下一层层高为4.2m，一层层高为4.8m，顶层层高为5.1m,其余层层高为3.5m。建筑高度为49.650m。</w:t>
      </w:r>
    </w:p>
    <w:p>
      <w:pPr>
        <w:autoSpaceDE w:val="0"/>
        <w:autoSpaceDN w:val="0"/>
        <w:adjustRightInd w:val="0"/>
        <w:spacing w:after="200" w:line="240" w:lineRule="auto"/>
        <w:ind w:firstLine="482" w:firstLineChars="200"/>
        <w:jc w:val="left"/>
        <w:rPr>
          <w:rFonts w:hint="default" w:ascii="宋体" w:hAnsi="宋体" w:eastAsia="宋体" w:cs="宋体"/>
          <w:b/>
          <w:bCs w:val="0"/>
          <w:kern w:val="0"/>
          <w:sz w:val="24"/>
          <w:szCs w:val="24"/>
          <w:highlight w:val="none"/>
          <w:shd w:val="clear" w:color="auto" w:fill="FFFFFF"/>
          <w:lang w:val="en-US" w:eastAsia="zh-CN" w:bidi="ar"/>
        </w:rPr>
      </w:pPr>
      <w:r>
        <w:rPr>
          <w:rFonts w:hint="eastAsia" w:ascii="宋体" w:hAnsi="宋体" w:eastAsia="宋体" w:cs="宋体"/>
          <w:b/>
          <w:bCs w:val="0"/>
          <w:kern w:val="0"/>
          <w:sz w:val="24"/>
          <w:szCs w:val="24"/>
          <w:highlight w:val="none"/>
          <w:shd w:val="clear" w:color="auto" w:fill="FFFFFF"/>
          <w:lang w:eastAsia="zh-CN" w:bidi="ar"/>
        </w:rPr>
        <w:t>建设单位：</w:t>
      </w:r>
      <w:r>
        <w:rPr>
          <w:rFonts w:hint="eastAsia" w:ascii="宋体" w:hAnsi="宋体" w:cs="宋体"/>
          <w:b/>
          <w:bCs w:val="0"/>
          <w:kern w:val="0"/>
          <w:sz w:val="24"/>
          <w:szCs w:val="24"/>
          <w:highlight w:val="none"/>
          <w:shd w:val="clear" w:color="auto" w:fill="FFFFFF"/>
          <w:lang w:val="en-US" w:eastAsia="zh-CN" w:bidi="ar"/>
        </w:rPr>
        <w:t>河北省科学技术厅、河北省政府投资项目管理中心</w:t>
      </w:r>
    </w:p>
    <w:p>
      <w:pPr>
        <w:autoSpaceDE w:val="0"/>
        <w:autoSpaceDN w:val="0"/>
        <w:adjustRightInd w:val="0"/>
        <w:spacing w:after="200" w:line="240" w:lineRule="auto"/>
        <w:ind w:firstLine="482" w:firstLineChars="200"/>
        <w:jc w:val="left"/>
        <w:rPr>
          <w:rFonts w:hint="eastAsia" w:ascii="宋体" w:hAnsi="宋体" w:cs="宋体"/>
          <w:b/>
          <w:bCs w:val="0"/>
          <w:kern w:val="0"/>
          <w:sz w:val="24"/>
          <w:szCs w:val="24"/>
          <w:highlight w:val="none"/>
          <w:shd w:val="clear" w:color="auto" w:fill="FFFFFF"/>
          <w:lang w:eastAsia="zh-CN" w:bidi="ar"/>
        </w:rPr>
      </w:pPr>
      <w:r>
        <w:rPr>
          <w:rFonts w:hint="eastAsia" w:ascii="宋体" w:hAnsi="宋体" w:eastAsia="宋体" w:cs="宋体"/>
          <w:b/>
          <w:bCs w:val="0"/>
          <w:kern w:val="0"/>
          <w:sz w:val="24"/>
          <w:szCs w:val="24"/>
          <w:highlight w:val="none"/>
          <w:shd w:val="clear" w:color="auto" w:fill="FFFFFF"/>
          <w:lang w:bidi="ar"/>
        </w:rPr>
        <w:t>总包单位：</w:t>
      </w:r>
      <w:r>
        <w:rPr>
          <w:rFonts w:hint="eastAsia" w:ascii="宋体" w:hAnsi="宋体" w:cs="宋体"/>
          <w:b/>
          <w:bCs w:val="0"/>
          <w:kern w:val="0"/>
          <w:sz w:val="24"/>
          <w:szCs w:val="24"/>
          <w:highlight w:val="none"/>
          <w:shd w:val="clear" w:color="auto" w:fill="FFFFFF"/>
          <w:lang w:eastAsia="zh-CN" w:bidi="ar"/>
        </w:rPr>
        <w:t>河北建工集团建筑装饰工程有限公司</w:t>
      </w:r>
    </w:p>
    <w:p>
      <w:pPr>
        <w:autoSpaceDE w:val="0"/>
        <w:autoSpaceDN w:val="0"/>
        <w:adjustRightInd w:val="0"/>
        <w:spacing w:after="200" w:line="240" w:lineRule="auto"/>
        <w:ind w:firstLine="482" w:firstLineChars="200"/>
        <w:jc w:val="left"/>
        <w:rPr>
          <w:rFonts w:hint="default" w:ascii="宋体" w:hAnsi="宋体" w:eastAsia="宋体" w:cs="宋体"/>
          <w:b/>
          <w:bCs w:val="0"/>
          <w:kern w:val="0"/>
          <w:sz w:val="24"/>
          <w:szCs w:val="24"/>
          <w:highlight w:val="none"/>
          <w:shd w:val="clear" w:color="auto" w:fill="FFFFFF"/>
          <w:lang w:val="en-US" w:bidi="ar"/>
        </w:rPr>
      </w:pPr>
      <w:r>
        <w:rPr>
          <w:rFonts w:hint="eastAsia" w:ascii="宋体" w:hAnsi="宋体" w:eastAsia="宋体" w:cs="宋体"/>
          <w:b/>
          <w:bCs w:val="0"/>
          <w:kern w:val="0"/>
          <w:sz w:val="24"/>
          <w:szCs w:val="24"/>
          <w:highlight w:val="none"/>
          <w:shd w:val="clear" w:color="auto" w:fill="FFFFFF"/>
          <w:lang w:bidi="ar"/>
        </w:rPr>
        <w:t>设计单位：</w:t>
      </w:r>
      <w:r>
        <w:rPr>
          <w:rFonts w:hint="eastAsia" w:ascii="宋体" w:hAnsi="宋体" w:cs="宋体"/>
          <w:b/>
          <w:bCs w:val="0"/>
          <w:kern w:val="0"/>
          <w:sz w:val="24"/>
          <w:szCs w:val="24"/>
          <w:highlight w:val="none"/>
          <w:shd w:val="clear" w:color="auto" w:fill="FFFFFF"/>
          <w:lang w:val="en-US" w:eastAsia="zh-CN" w:bidi="ar"/>
        </w:rPr>
        <w:t>北方工程设计研究院有限公司</w:t>
      </w:r>
    </w:p>
    <w:p>
      <w:pPr>
        <w:autoSpaceDE w:val="0"/>
        <w:autoSpaceDN w:val="0"/>
        <w:adjustRightInd w:val="0"/>
        <w:spacing w:after="200" w:line="240" w:lineRule="auto"/>
        <w:ind w:firstLine="482" w:firstLineChars="200"/>
        <w:jc w:val="left"/>
        <w:rPr>
          <w:rFonts w:hint="default" w:ascii="宋体" w:hAnsi="宋体" w:eastAsia="宋体" w:cs="宋体"/>
          <w:b/>
          <w:bCs w:val="0"/>
          <w:kern w:val="0"/>
          <w:sz w:val="24"/>
          <w:szCs w:val="24"/>
          <w:highlight w:val="none"/>
          <w:shd w:val="clear" w:color="auto" w:fill="FFFFFF"/>
          <w:lang w:val="en-US" w:eastAsia="zh-CN" w:bidi="ar"/>
        </w:rPr>
      </w:pPr>
      <w:r>
        <w:rPr>
          <w:rFonts w:hint="eastAsia" w:ascii="宋体" w:hAnsi="宋体" w:eastAsia="宋体" w:cs="宋体"/>
          <w:b/>
          <w:bCs w:val="0"/>
          <w:kern w:val="0"/>
          <w:sz w:val="24"/>
          <w:szCs w:val="24"/>
          <w:highlight w:val="none"/>
          <w:shd w:val="clear" w:color="auto" w:fill="FFFFFF"/>
          <w:lang w:bidi="ar"/>
        </w:rPr>
        <w:t>监理单位：</w:t>
      </w:r>
      <w:r>
        <w:rPr>
          <w:rFonts w:hint="eastAsia" w:ascii="宋体" w:hAnsi="宋体" w:cs="宋体"/>
          <w:b/>
          <w:bCs w:val="0"/>
          <w:kern w:val="0"/>
          <w:sz w:val="24"/>
          <w:szCs w:val="24"/>
          <w:highlight w:val="none"/>
          <w:shd w:val="clear" w:color="auto" w:fill="FFFFFF"/>
          <w:lang w:val="en-US" w:eastAsia="zh-CN" w:bidi="ar"/>
        </w:rPr>
        <w:t>河北工程建设监理有限公司</w:t>
      </w:r>
    </w:p>
    <w:p>
      <w:pPr>
        <w:autoSpaceDE w:val="0"/>
        <w:autoSpaceDN w:val="0"/>
        <w:adjustRightInd w:val="0"/>
        <w:spacing w:after="200" w:line="240" w:lineRule="auto"/>
        <w:ind w:firstLine="482" w:firstLineChars="200"/>
        <w:jc w:val="left"/>
        <w:rPr>
          <w:rFonts w:hint="eastAsia" w:ascii="宋体" w:hAnsi="宋体" w:eastAsia="宋体" w:cs="宋体"/>
          <w:b/>
          <w:bCs w:val="0"/>
          <w:kern w:val="0"/>
          <w:sz w:val="24"/>
          <w:szCs w:val="24"/>
          <w:highlight w:val="none"/>
          <w:shd w:val="clear" w:color="auto" w:fill="FFFFFF"/>
          <w:lang w:bidi="ar"/>
        </w:rPr>
      </w:pPr>
      <w:r>
        <w:rPr>
          <w:rFonts w:hint="eastAsia" w:ascii="宋体" w:hAnsi="宋体" w:eastAsia="宋体" w:cs="宋体"/>
          <w:b/>
          <w:bCs w:val="0"/>
          <w:kern w:val="0"/>
          <w:sz w:val="24"/>
          <w:szCs w:val="24"/>
          <w:highlight w:val="none"/>
          <w:shd w:val="clear" w:color="auto" w:fill="FFFFFF"/>
          <w:lang w:bidi="ar"/>
        </w:rPr>
        <w:t>要施工部位：图纸和清单范围内的</w:t>
      </w:r>
      <w:r>
        <w:rPr>
          <w:rFonts w:hint="eastAsia" w:ascii="宋体" w:hAnsi="宋体" w:cs="宋体"/>
          <w:b/>
          <w:bCs w:val="0"/>
          <w:kern w:val="0"/>
          <w:sz w:val="24"/>
          <w:szCs w:val="24"/>
          <w:highlight w:val="none"/>
          <w:shd w:val="clear" w:color="auto" w:fill="FFFFFF"/>
          <w:lang w:val="en-US" w:eastAsia="zh-CN" w:bidi="ar"/>
        </w:rPr>
        <w:t>暖通</w:t>
      </w:r>
      <w:r>
        <w:rPr>
          <w:rFonts w:hint="eastAsia" w:ascii="宋体" w:hAnsi="宋体" w:eastAsia="宋体" w:cs="宋体"/>
          <w:b/>
          <w:bCs w:val="0"/>
          <w:kern w:val="0"/>
          <w:sz w:val="24"/>
          <w:szCs w:val="24"/>
          <w:highlight w:val="none"/>
          <w:shd w:val="clear" w:color="auto" w:fill="FFFFFF"/>
          <w:lang w:bidi="ar"/>
        </w:rPr>
        <w:t>工程</w:t>
      </w:r>
      <w:r>
        <w:rPr>
          <w:rFonts w:hint="eastAsia" w:ascii="宋体" w:hAnsi="宋体" w:cs="宋体"/>
          <w:b/>
          <w:bCs w:val="0"/>
          <w:kern w:val="0"/>
          <w:sz w:val="24"/>
          <w:szCs w:val="24"/>
          <w:highlight w:val="none"/>
          <w:shd w:val="clear" w:color="auto" w:fill="FFFFFF"/>
          <w:lang w:val="en-US" w:eastAsia="zh-CN" w:bidi="ar"/>
        </w:rPr>
        <w:t>含洽商变更</w:t>
      </w:r>
      <w:r>
        <w:rPr>
          <w:rFonts w:hint="eastAsia" w:ascii="宋体" w:hAnsi="宋体" w:eastAsia="宋体" w:cs="宋体"/>
          <w:b/>
          <w:bCs w:val="0"/>
          <w:kern w:val="0"/>
          <w:sz w:val="24"/>
          <w:szCs w:val="24"/>
          <w:highlight w:val="none"/>
          <w:shd w:val="clear" w:color="auto" w:fill="FFFFFF"/>
          <w:lang w:bidi="ar"/>
        </w:rPr>
        <w:t>全部内容。</w:t>
      </w:r>
    </w:p>
    <w:p>
      <w:pPr>
        <w:autoSpaceDE w:val="0"/>
        <w:autoSpaceDN w:val="0"/>
        <w:adjustRightInd w:val="0"/>
        <w:spacing w:after="200" w:line="240" w:lineRule="auto"/>
        <w:ind w:firstLine="482" w:firstLineChars="200"/>
        <w:jc w:val="left"/>
        <w:rPr>
          <w:rFonts w:hint="eastAsia" w:ascii="宋体" w:hAnsi="宋体" w:eastAsia="宋体" w:cs="宋体"/>
          <w:b/>
          <w:bCs w:val="0"/>
          <w:kern w:val="0"/>
          <w:sz w:val="24"/>
          <w:szCs w:val="24"/>
          <w:highlight w:val="none"/>
          <w:shd w:val="clear" w:color="auto" w:fill="FFFFFF"/>
          <w:lang w:bidi="ar"/>
        </w:rPr>
      </w:pPr>
      <w:r>
        <w:rPr>
          <w:rFonts w:hint="eastAsia" w:ascii="宋体" w:hAnsi="宋体" w:eastAsia="宋体" w:cs="宋体"/>
          <w:b/>
          <w:bCs w:val="0"/>
          <w:kern w:val="0"/>
          <w:sz w:val="24"/>
          <w:szCs w:val="24"/>
          <w:highlight w:val="none"/>
          <w:shd w:val="clear" w:color="auto" w:fill="FFFFFF"/>
          <w:lang w:bidi="ar"/>
        </w:rPr>
        <w:t xml:space="preserve">工期：合同签订后 </w:t>
      </w:r>
      <w:r>
        <w:rPr>
          <w:rFonts w:hint="eastAsia" w:ascii="宋体" w:hAnsi="宋体" w:cs="宋体"/>
          <w:b/>
          <w:bCs w:val="0"/>
          <w:kern w:val="0"/>
          <w:sz w:val="24"/>
          <w:szCs w:val="24"/>
          <w:highlight w:val="none"/>
          <w:shd w:val="clear" w:color="auto" w:fill="FFFFFF"/>
          <w:lang w:val="en-US" w:eastAsia="zh-CN" w:bidi="ar"/>
        </w:rPr>
        <w:t>45</w:t>
      </w:r>
      <w:r>
        <w:rPr>
          <w:rFonts w:hint="eastAsia" w:ascii="宋体" w:hAnsi="宋体" w:eastAsia="宋体" w:cs="宋体"/>
          <w:b/>
          <w:bCs w:val="0"/>
          <w:kern w:val="0"/>
          <w:sz w:val="24"/>
          <w:szCs w:val="24"/>
          <w:highlight w:val="none"/>
          <w:shd w:val="clear" w:color="auto" w:fill="FFFFFF"/>
          <w:lang w:bidi="ar"/>
        </w:rPr>
        <w:t>日历天；</w:t>
      </w:r>
    </w:p>
    <w:p>
      <w:pPr>
        <w:autoSpaceDE w:val="0"/>
        <w:autoSpaceDN w:val="0"/>
        <w:adjustRightInd w:val="0"/>
        <w:spacing w:after="200" w:line="240" w:lineRule="auto"/>
        <w:ind w:firstLine="482" w:firstLineChars="200"/>
        <w:jc w:val="left"/>
        <w:rPr>
          <w:rFonts w:hint="eastAsia" w:ascii="黑体" w:hAnsi="黑体" w:eastAsia="黑体" w:cs="黑体"/>
          <w:b w:val="0"/>
          <w:bCs w:val="0"/>
          <w:color w:val="auto"/>
          <w:kern w:val="0"/>
          <w:sz w:val="24"/>
          <w:szCs w:val="24"/>
          <w:highlight w:val="none"/>
          <w:u w:val="single"/>
          <w:lang w:val="en-US" w:eastAsia="zh-CN" w:bidi="ar"/>
        </w:rPr>
      </w:pPr>
      <w:r>
        <w:rPr>
          <w:rFonts w:hint="eastAsia" w:ascii="宋体" w:hAnsi="宋体" w:eastAsia="宋体" w:cs="宋体"/>
          <w:b/>
          <w:bCs w:val="0"/>
          <w:kern w:val="0"/>
          <w:sz w:val="24"/>
          <w:szCs w:val="24"/>
          <w:highlight w:val="none"/>
          <w:shd w:val="clear" w:color="auto" w:fill="FFFFFF"/>
          <w:lang w:bidi="ar"/>
        </w:rPr>
        <w:t>质量标准：</w:t>
      </w:r>
      <w:r>
        <w:rPr>
          <w:rFonts w:hint="eastAsia" w:ascii="宋体" w:hAnsi="宋体" w:cs="宋体"/>
          <w:b/>
          <w:bCs w:val="0"/>
          <w:kern w:val="0"/>
          <w:sz w:val="24"/>
          <w:szCs w:val="24"/>
          <w:highlight w:val="none"/>
          <w:shd w:val="clear" w:color="auto" w:fill="FFFFFF"/>
          <w:lang w:val="en-US" w:eastAsia="zh-CN" w:bidi="ar"/>
        </w:rPr>
        <w:t>国优</w:t>
      </w:r>
    </w:p>
    <w:p>
      <w:pPr>
        <w:pStyle w:val="16"/>
        <w:numPr>
          <w:ilvl w:val="0"/>
          <w:numId w:val="3"/>
        </w:numPr>
        <w:topLinePunct/>
        <w:spacing w:line="400" w:lineRule="exact"/>
        <w:ind w:left="-199" w:leftChars="-95" w:right="-92" w:rightChars="-44" w:firstLine="133" w:firstLineChars="55"/>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val="en-US" w:eastAsia="zh-CN" w:bidi="ar"/>
        </w:rPr>
        <w:t>招标范围：</w:t>
      </w:r>
    </w:p>
    <w:p>
      <w:pPr>
        <w:spacing w:line="360" w:lineRule="auto"/>
        <w:ind w:left="-199" w:leftChars="-95" w:right="-92" w:rightChars="-44" w:firstLine="132" w:firstLineChars="55"/>
        <w:jc w:val="left"/>
        <w:rPr>
          <w:rFonts w:hint="eastAsia" w:ascii="黑体" w:hAnsi="黑体" w:eastAsia="黑体" w:cs="黑体"/>
          <w:b w:val="0"/>
          <w:bCs w:val="0"/>
          <w:color w:val="auto"/>
          <w:kern w:val="0"/>
          <w:sz w:val="24"/>
          <w:szCs w:val="24"/>
          <w:highlight w:val="none"/>
          <w:u w:val="none"/>
          <w:lang w:val="en-US" w:eastAsia="zh-CN" w:bidi="ar"/>
        </w:rPr>
      </w:pPr>
      <w:r>
        <w:rPr>
          <w:rFonts w:hint="eastAsia" w:ascii="黑体" w:hAnsi="黑体" w:eastAsia="黑体" w:cs="黑体"/>
          <w:b w:val="0"/>
          <w:bCs w:val="0"/>
          <w:color w:val="auto"/>
          <w:kern w:val="0"/>
          <w:sz w:val="24"/>
          <w:szCs w:val="24"/>
          <w:highlight w:val="none"/>
          <w:u w:val="none"/>
          <w:lang w:val="en-US" w:eastAsia="zh-CN" w:bidi="ar"/>
        </w:rPr>
        <w:t>1、</w:t>
      </w:r>
      <w:r>
        <w:rPr>
          <w:rFonts w:hint="eastAsia" w:ascii="黑体" w:hAnsi="黑体" w:eastAsia="黑体" w:cs="黑体"/>
          <w:b w:val="0"/>
          <w:bCs w:val="0"/>
          <w:color w:val="auto"/>
          <w:kern w:val="0"/>
          <w:sz w:val="24"/>
          <w:szCs w:val="24"/>
          <w:highlight w:val="none"/>
          <w:u w:val="none"/>
          <w:lang w:val="en-US" w:eastAsia="zh-CN" w:bidi="ar"/>
        </w:rPr>
        <w:t>本次招标范围包括但不限于：设计施工图纸与初步设计图纸范围内的消防水、消防弱电等全部消防专业的安装、调试及消防工程整体报批、整体验收、消防验收涉及的所有检测等全部工作内容，由投标方包工包料、</w:t>
      </w:r>
      <w:r>
        <w:rPr>
          <w:rFonts w:hint="eastAsia" w:ascii="黑体" w:hAnsi="黑体" w:eastAsia="黑体" w:cs="黑体"/>
          <w:b w:val="0"/>
          <w:bCs w:val="0"/>
          <w:color w:val="auto"/>
          <w:kern w:val="0"/>
          <w:sz w:val="24"/>
          <w:szCs w:val="24"/>
          <w:highlight w:val="none"/>
          <w:u w:val="none"/>
          <w:lang w:val="en-US" w:eastAsia="zh-CN" w:bidi="ar"/>
        </w:rPr>
        <w:t>包设备，在施工过程中采取的相应措施（并保证最终消防通过主管部门的验收</w:t>
      </w:r>
      <w:r>
        <w:rPr>
          <w:rFonts w:hint="eastAsia" w:ascii="黑体" w:hAnsi="黑体" w:eastAsia="黑体" w:cs="黑体"/>
          <w:b w:val="0"/>
          <w:bCs w:val="0"/>
          <w:color w:val="auto"/>
          <w:kern w:val="0"/>
          <w:sz w:val="24"/>
          <w:szCs w:val="24"/>
          <w:highlight w:val="none"/>
          <w:u w:val="none"/>
          <w:lang w:val="en-US" w:eastAsia="zh-CN" w:bidi="ar"/>
        </w:rPr>
        <w:t>）、质量保修期内对因投标方原因引起的质量缺陷进行保修等全过程，以及“河北省科学技术厅办公业务用房改造修缮项目</w:t>
      </w:r>
      <w:r>
        <w:rPr>
          <w:rFonts w:hint="eastAsia" w:ascii="黑体" w:hAnsi="黑体" w:eastAsia="黑体" w:cs="黑体"/>
          <w:b w:val="0"/>
          <w:bCs w:val="0"/>
          <w:color w:val="auto"/>
          <w:kern w:val="0"/>
          <w:sz w:val="24"/>
          <w:szCs w:val="24"/>
          <w:highlight w:val="none"/>
          <w:u w:val="none"/>
          <w:lang w:val="en-US" w:eastAsia="zh-CN" w:bidi="ar"/>
        </w:rPr>
        <w:t>有关消防水、消防弱电、图纸的工程设计说明”中的相应要求，并负责分包内容的各项试验检验，专项方案以及竣工资料的编制、整理、报验、档案馆的归档和配合总包集团的归档。保证分部工程验收及整体工程最终竣工验收，质量保修期内对因投标方原因引起的质量问题进行保修等全过程。</w:t>
      </w:r>
    </w:p>
    <w:p>
      <w:pPr>
        <w:spacing w:line="360" w:lineRule="auto"/>
        <w:ind w:left="-199" w:leftChars="-95" w:right="-92" w:rightChars="-44" w:firstLine="132" w:firstLineChars="55"/>
        <w:jc w:val="left"/>
        <w:rPr>
          <w:rFonts w:hint="default" w:ascii="黑体" w:hAnsi="黑体" w:eastAsia="黑体" w:cs="黑体"/>
          <w:b/>
          <w:color w:val="auto"/>
          <w:sz w:val="30"/>
          <w:szCs w:val="30"/>
          <w:highlight w:val="none"/>
          <w:u w:val="none"/>
          <w:lang w:val="en-US" w:eastAsia="zh-CN"/>
        </w:rPr>
      </w:pPr>
      <w:r>
        <w:rPr>
          <w:rFonts w:hint="eastAsia" w:ascii="黑体" w:hAnsi="黑体" w:eastAsia="黑体" w:cs="黑体"/>
          <w:b w:val="0"/>
          <w:bCs w:val="0"/>
          <w:color w:val="auto"/>
          <w:kern w:val="0"/>
          <w:sz w:val="24"/>
          <w:szCs w:val="24"/>
          <w:highlight w:val="none"/>
          <w:u w:val="none"/>
          <w:lang w:val="en-US" w:eastAsia="zh-CN" w:bidi="ar"/>
        </w:rPr>
        <w:t>2、图纸界限：</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w:t>
      </w:r>
      <w:r>
        <w:rPr>
          <w:rFonts w:hint="eastAsia" w:ascii="黑体" w:hAnsi="黑体" w:eastAsia="黑体" w:cs="黑体"/>
          <w:b w:val="0"/>
          <w:bCs w:val="0"/>
          <w:color w:val="auto"/>
          <w:kern w:val="0"/>
          <w:sz w:val="24"/>
          <w:szCs w:val="24"/>
          <w:highlight w:val="none"/>
          <w:u w:val="none"/>
          <w:lang w:val="en-US" w:eastAsia="zh-CN" w:bidi="ar"/>
        </w:rPr>
        <w:t>所有消防水、消防弱电工程施工图纸及初步图纸、概算清单中的施工内容（含洽商签证变更等），中标单位必须承担图纸会审、设计变更、工程洽商、签证涉及到的本专业施工内容，如拒不施工，甲方有权委托其他人员施工，所发生费用按1.5倍从乙方工程款中扣除。</w:t>
      </w:r>
    </w:p>
    <w:p>
      <w:pPr>
        <w:pStyle w:val="17"/>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highlight w:val="none"/>
          <w:u w:val="none"/>
          <w:lang w:val="en-US" w:eastAsia="zh-CN"/>
        </w:rPr>
      </w:pPr>
    </w:p>
    <w:p>
      <w:pPr>
        <w:pStyle w:val="16"/>
        <w:numPr>
          <w:ilvl w:val="0"/>
          <w:numId w:val="0"/>
        </w:numPr>
        <w:topLinePunct/>
        <w:spacing w:line="400" w:lineRule="exact"/>
        <w:ind w:leftChars="-40" w:right="-92" w:rightChars="-44"/>
        <w:jc w:val="center"/>
        <w:rPr>
          <w:rFonts w:hint="eastAsia" w:ascii="黑体" w:hAnsi="黑体" w:eastAsia="黑体" w:cs="黑体"/>
          <w:b/>
          <w:bCs/>
          <w:color w:val="auto"/>
          <w:sz w:val="24"/>
          <w:szCs w:val="24"/>
          <w:highlight w:val="none"/>
          <w:u w:val="none"/>
          <w:lang w:eastAsia="zh-CN"/>
        </w:rPr>
      </w:pPr>
      <w:r>
        <w:rPr>
          <w:rFonts w:hint="eastAsia" w:ascii="黑体" w:hAnsi="黑体" w:eastAsia="黑体" w:cs="黑体"/>
          <w:b/>
          <w:bCs/>
          <w:color w:val="auto"/>
          <w:sz w:val="24"/>
          <w:szCs w:val="24"/>
          <w:highlight w:val="none"/>
          <w:u w:val="none"/>
        </w:rPr>
        <w:t>主要材料品牌如下表规定</w:t>
      </w:r>
      <w:r>
        <w:rPr>
          <w:rFonts w:hint="eastAsia" w:ascii="黑体" w:hAnsi="黑体" w:eastAsia="黑体" w:cs="黑体"/>
          <w:b/>
          <w:bCs/>
          <w:color w:val="auto"/>
          <w:sz w:val="24"/>
          <w:szCs w:val="24"/>
          <w:highlight w:val="none"/>
          <w:u w:val="none"/>
          <w:lang w:eastAsia="zh-CN"/>
        </w:rPr>
        <w:t>（</w:t>
      </w:r>
      <w:r>
        <w:rPr>
          <w:rFonts w:hint="eastAsia" w:ascii="黑体" w:hAnsi="黑体" w:eastAsia="黑体" w:cs="黑体"/>
          <w:b/>
          <w:bCs/>
          <w:color w:val="auto"/>
          <w:sz w:val="24"/>
          <w:szCs w:val="24"/>
          <w:highlight w:val="none"/>
          <w:u w:val="none"/>
          <w:lang w:val="en-US" w:eastAsia="zh-CN"/>
        </w:rPr>
        <w:t>招标人有权统一材料设备品牌，不增加费用</w:t>
      </w:r>
      <w:r>
        <w:rPr>
          <w:rFonts w:hint="eastAsia" w:ascii="黑体" w:hAnsi="黑体" w:eastAsia="黑体" w:cs="黑体"/>
          <w:b/>
          <w:bCs/>
          <w:color w:val="auto"/>
          <w:sz w:val="24"/>
          <w:szCs w:val="24"/>
          <w:highlight w:val="none"/>
          <w:u w:val="none"/>
          <w:lang w:eastAsia="zh-CN"/>
        </w:rPr>
        <w:t>）</w:t>
      </w:r>
    </w:p>
    <w:p>
      <w:pPr>
        <w:ind w:firstLine="2650" w:firstLineChars="1100"/>
        <w:rPr>
          <w:rFonts w:hint="default"/>
          <w:lang w:val="en-US" w:eastAsia="zh-CN"/>
        </w:rPr>
      </w:pPr>
      <w:r>
        <w:rPr>
          <w:rFonts w:hint="eastAsia" w:ascii="黑体" w:hAnsi="黑体" w:eastAsia="黑体" w:cs="黑体"/>
          <w:b/>
          <w:bCs/>
          <w:color w:val="FF0000"/>
          <w:sz w:val="24"/>
          <w:szCs w:val="24"/>
          <w:highlight w:val="none"/>
          <w:u w:val="single"/>
          <w:lang w:val="en-US" w:eastAsia="zh-CN"/>
        </w:rPr>
        <w:t>必须是河北省消防器材品牌库备案品牌</w:t>
      </w:r>
    </w:p>
    <w:tbl>
      <w:tblPr>
        <w:tblStyle w:val="36"/>
        <w:tblpPr w:leftFromText="180" w:rightFromText="180" w:vertAnchor="text" w:tblpXSpec="center" w:tblpY="1"/>
        <w:tblOverlap w:val="never"/>
        <w:tblW w:w="5000" w:type="pct"/>
        <w:tblInd w:w="0" w:type="dxa"/>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Layout w:type="autofit"/>
        <w:tblCellMar>
          <w:top w:w="0" w:type="dxa"/>
          <w:left w:w="108" w:type="dxa"/>
          <w:bottom w:w="0" w:type="dxa"/>
          <w:right w:w="108" w:type="dxa"/>
        </w:tblCellMar>
      </w:tblPr>
      <w:tblGrid>
        <w:gridCol w:w="752"/>
        <w:gridCol w:w="2055"/>
        <w:gridCol w:w="7159"/>
      </w:tblGrid>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05" w:hRule="atLeast"/>
          <w:tblHeader/>
        </w:trPr>
        <w:tc>
          <w:tcPr>
            <w:tcW w:w="37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031"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材料名称</w:t>
            </w:r>
          </w:p>
        </w:tc>
        <w:tc>
          <w:tcPr>
            <w:tcW w:w="3591"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建议品牌档次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1</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配电箱</w:t>
            </w:r>
          </w:p>
        </w:tc>
        <w:tc>
          <w:tcPr>
            <w:tcW w:w="3591"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bidi="ar"/>
              </w:rPr>
              <w:t>规模较大且满足现场进度要求，拥有良好加工能力的厂家</w:t>
            </w:r>
            <w:r>
              <w:rPr>
                <w:rFonts w:hint="eastAsia" w:ascii="黑体" w:hAnsi="黑体" w:eastAsia="黑体" w:cs="黑体"/>
                <w:color w:val="auto"/>
                <w:szCs w:val="21"/>
                <w:highlight w:val="none"/>
                <w:lang w:eastAsia="zh-CN" w:bidi="ar"/>
              </w:rPr>
              <w:t>；3C认证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2</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高低压柜（箱）断路器、隔离开关等主要元器件</w:t>
            </w:r>
          </w:p>
        </w:tc>
        <w:tc>
          <w:tcPr>
            <w:tcW w:w="3591" w:type="pct"/>
            <w:shd w:val="clear" w:color="auto" w:fill="FFFFFF"/>
            <w:noWrap w:val="0"/>
            <w:vAlign w:val="center"/>
          </w:tcPr>
          <w:p>
            <w:pPr>
              <w:widowControl/>
              <w:ind w:left="-21" w:leftChars="-10" w:right="-13" w:rightChars="-6" w:firstLine="21" w:firstLineChars="10"/>
              <w:jc w:val="both"/>
              <w:textAlignment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bidi="ar"/>
              </w:rPr>
              <w:t>正泰、德力西</w:t>
            </w:r>
            <w:r>
              <w:rPr>
                <w:rFonts w:hint="eastAsia" w:ascii="黑体" w:hAnsi="黑体" w:eastAsia="黑体" w:cs="黑体"/>
                <w:color w:val="auto"/>
                <w:szCs w:val="21"/>
                <w:highlight w:val="none"/>
                <w:lang w:bidi="ar"/>
              </w:rPr>
              <w:t>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3</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电缆电线</w:t>
            </w:r>
          </w:p>
        </w:tc>
        <w:tc>
          <w:tcPr>
            <w:tcW w:w="3591"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小猫生产的优质产品。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63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4</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矿物绝缘电缆</w:t>
            </w:r>
          </w:p>
        </w:tc>
        <w:tc>
          <w:tcPr>
            <w:tcW w:w="3591"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江苏宝胜、久盛电气、上海安捷、浙江万马、特变电工</w:t>
            </w:r>
            <w:r>
              <w:rPr>
                <w:rFonts w:hint="eastAsia" w:ascii="黑体" w:hAnsi="黑体" w:eastAsia="黑体" w:cs="黑体"/>
                <w:color w:val="auto"/>
                <w:szCs w:val="21"/>
                <w:highlight w:val="none"/>
                <w:lang w:val="en-US" w:eastAsia="zh-CN" w:bidi="ar"/>
              </w:rPr>
              <w:t>及天津小猫</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5</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浪涌保护器</w:t>
            </w:r>
          </w:p>
        </w:tc>
        <w:tc>
          <w:tcPr>
            <w:tcW w:w="3591"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伊顿、北京瑞科智汇、北京腾冠信达、上海人民、上海良信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6</w:t>
            </w:r>
          </w:p>
        </w:tc>
        <w:tc>
          <w:tcPr>
            <w:tcW w:w="1031"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多功能仪表</w:t>
            </w:r>
          </w:p>
        </w:tc>
        <w:tc>
          <w:tcPr>
            <w:tcW w:w="3591" w:type="pct"/>
            <w:shd w:val="clear" w:color="auto" w:fill="FFFFFF"/>
            <w:noWrap w:val="0"/>
            <w:vAlign w:val="center"/>
          </w:tcPr>
          <w:p>
            <w:pPr>
              <w:widowControl/>
              <w:ind w:right="-13" w:rightChars="-6"/>
              <w:jc w:val="center"/>
              <w:textAlignment w:val="center"/>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val="en-US" w:eastAsia="zh-CN"/>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7</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阀门</w:t>
            </w:r>
          </w:p>
        </w:tc>
        <w:tc>
          <w:tcPr>
            <w:tcW w:w="3591"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bidi="ar"/>
              </w:rPr>
              <w:t>选用东方威尔、良工（工字牌）、铜都流体、远大等厂家生产的优质产品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8</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焊管</w:t>
            </w:r>
          </w:p>
        </w:tc>
        <w:tc>
          <w:tcPr>
            <w:tcW w:w="3591"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szCs w:val="21"/>
                <w:highlight w:val="none"/>
                <w:lang w:val="en-US" w:eastAsia="zh-CN" w:bidi="ar"/>
              </w:rPr>
            </w:pPr>
            <w:r>
              <w:rPr>
                <w:rFonts w:hint="eastAsia" w:ascii="黑体" w:hAnsi="黑体" w:eastAsia="黑体" w:cs="黑体"/>
                <w:color w:val="auto"/>
                <w:szCs w:val="21"/>
                <w:highlight w:val="none"/>
                <w:lang w:bidi="ar"/>
              </w:rPr>
              <w:t>选用京华、友发、华岐等厂家生产的优质产品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9</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无缝管</w:t>
            </w:r>
          </w:p>
        </w:tc>
        <w:tc>
          <w:tcPr>
            <w:tcW w:w="3591" w:type="pct"/>
            <w:shd w:val="clear" w:color="auto" w:fill="FFFFFF"/>
            <w:noWrap w:val="0"/>
            <w:vAlign w:val="center"/>
          </w:tcPr>
          <w:p>
            <w:pPr>
              <w:widowControl/>
              <w:ind w:right="-92" w:rightChars="-44"/>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金宝诚管业、美鑫管业、包钢、临沂金正阳、天津应泰、天津友发</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10</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镀锌管</w:t>
            </w:r>
          </w:p>
        </w:tc>
        <w:tc>
          <w:tcPr>
            <w:tcW w:w="3591"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选用京华、友发、华岐等厂家生产的优质产品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11</w:t>
            </w:r>
          </w:p>
        </w:tc>
        <w:tc>
          <w:tcPr>
            <w:tcW w:w="1031" w:type="pct"/>
            <w:shd w:val="clear" w:color="auto" w:fill="FFFFFF"/>
            <w:noWrap w:val="0"/>
            <w:vAlign w:val="center"/>
          </w:tcPr>
          <w:p>
            <w:pPr>
              <w:adjustRightInd w:val="0"/>
              <w:snapToGrid w:val="0"/>
              <w:ind w:right="101" w:rightChars="48"/>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消防器材（喷头、水流指示器、湿式报警阀组、水泵接合器、信号阀）</w:t>
            </w:r>
          </w:p>
        </w:tc>
        <w:tc>
          <w:tcPr>
            <w:tcW w:w="3591"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选用广东胜捷、天广、北仑吉龙等厂家生产的优质产品</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val="en-US" w:eastAsia="zh-CN" w:bidi="ar"/>
              </w:rPr>
              <w:t>设备出场流向二维码必须添加流向，具体到项目名称</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bidi="ar"/>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12</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消防水泵(含控制柜)</w:t>
            </w:r>
          </w:p>
        </w:tc>
        <w:tc>
          <w:tcPr>
            <w:tcW w:w="3591" w:type="pct"/>
            <w:shd w:val="clear" w:color="auto" w:fill="FFFFFF"/>
            <w:noWrap w:val="0"/>
            <w:vAlign w:val="center"/>
          </w:tcPr>
          <w:p>
            <w:pPr>
              <w:widowControl/>
              <w:ind w:left="0" w:leftChars="0" w:right="-92" w:rightChars="-44" w:firstLine="195" w:firstLineChars="93"/>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选用连成、凯泉等厂家生产的优质产品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9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13</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消火栓、水泵接合器</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14</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湿式报警阀、预作用阀、水喷雾雨淋阀、压力开关</w:t>
            </w:r>
          </w:p>
        </w:tc>
        <w:tc>
          <w:tcPr>
            <w:tcW w:w="3591" w:type="pct"/>
            <w:shd w:val="clear" w:color="auto" w:fill="FFFFFF"/>
            <w:noWrap w:val="0"/>
            <w:vAlign w:val="center"/>
          </w:tcPr>
          <w:p>
            <w:pPr>
              <w:widowControl/>
              <w:ind w:left="0" w:leftChars="0" w:right="-92" w:rightChars="-44" w:firstLine="195" w:firstLineChars="93"/>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天广、深圳广安、天宁、盾安、南消、北消、川消</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15</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LCD显示设备</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16</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LED显示屏、LCD拼接屏</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17</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消防广播及背景音乐系统</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8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18</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弱电系统集成</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19</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服务器</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选用浪潮、H3C等厂家生产的优质产品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20</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火灾报警系统</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选用海湾、北大青鸟、泛海三江等厂家生产的优质产品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21</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电力监控系统</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22</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UPS 电源</w:t>
            </w:r>
            <w:r>
              <w:rPr>
                <w:rFonts w:hint="eastAsia" w:ascii="黑体" w:hAnsi="黑体" w:eastAsia="黑体" w:cs="黑体"/>
                <w:color w:val="000000" w:themeColor="text1"/>
                <w:szCs w:val="21"/>
                <w:highlight w:val="none"/>
                <w:lang w:val="en-US" w:eastAsia="zh-CN"/>
                <w14:textFill>
                  <w14:solidFill>
                    <w14:schemeClr w14:val="tx1"/>
                  </w14:solidFill>
                </w14:textFill>
              </w:rPr>
              <w:t>主机</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选用施耐德、华为、深圳山特、中电博微、科华等厂家生产的优质产品或同档次产品。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23</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网络设备</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24</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设备机柜</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25</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PVC-U给、排水管</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选用中财、伟星、联塑、金德等厂家生产的优质产品。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26</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气体灭火系统、灭火器</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选用杭州新纪元、正天齐等厂家生产的优质产品或同档次产品</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val="en-US" w:eastAsia="zh-CN" w:bidi="ar"/>
              </w:rPr>
              <w:t>设备出场流向二维码必须添加流向，具体到项目名称</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bidi="ar"/>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27</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薄壁不锈钢管</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选用民生、民乐、雅昌、众扬等厂家生产的优质产品。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28</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潜污泵</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选用凯泉、青岛三利、东方泵业等厂家生产的优质产品。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29</w:t>
            </w:r>
          </w:p>
        </w:tc>
        <w:tc>
          <w:tcPr>
            <w:tcW w:w="1031" w:type="pct"/>
            <w:shd w:val="clear" w:color="auto" w:fill="FFFFFF"/>
            <w:noWrap w:val="0"/>
            <w:vAlign w:val="center"/>
          </w:tcPr>
          <w:p>
            <w:pPr>
              <w:adjustRightInd w:val="0"/>
              <w:snapToGrid w:val="0"/>
              <w:ind w:left="0" w:leftChars="0" w:right="101" w:rightChars="48" w:firstLine="195" w:firstLineChars="93"/>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应急照明灯具</w:t>
            </w:r>
          </w:p>
        </w:tc>
        <w:tc>
          <w:tcPr>
            <w:tcW w:w="3591"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选用和消防主机配套品牌灯具（满足图纸设计、使用和验收要求，符合国家现行验收规范且在投标时在品牌表中列明、灯具</w:t>
            </w:r>
            <w:r>
              <w:rPr>
                <w:rFonts w:hint="eastAsia" w:ascii="黑体" w:hAnsi="黑体" w:eastAsia="黑体" w:cs="黑体"/>
                <w:color w:val="auto"/>
                <w:szCs w:val="21"/>
                <w:highlight w:val="none"/>
                <w:lang w:val="en-US" w:eastAsia="zh-CN" w:bidi="ar"/>
              </w:rPr>
              <w:t>出场流向二维码必须添加流向，具体到项目名称</w:t>
            </w:r>
            <w:r>
              <w:rPr>
                <w:rFonts w:hint="eastAsia" w:ascii="黑体" w:hAnsi="黑体" w:eastAsia="黑体" w:cs="黑体"/>
                <w:color w:val="000000" w:themeColor="text1"/>
                <w:szCs w:val="21"/>
                <w:highlight w:val="none"/>
                <w:lang w:val="en-US" w:eastAsia="zh-CN"/>
                <w14:textFill>
                  <w14:solidFill>
                    <w14:schemeClr w14:val="tx1"/>
                  </w14:solidFill>
                </w14:textFill>
              </w:rPr>
              <w:t>）。</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2" w:firstLineChars="200"/>
        <w:jc w:val="left"/>
        <w:textAlignment w:val="auto"/>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b/>
          <w:bCs/>
          <w:color w:val="000000" w:themeColor="text1"/>
          <w:kern w:val="0"/>
          <w:sz w:val="24"/>
          <w:szCs w:val="24"/>
          <w:highlight w:val="none"/>
          <w:u w:val="single"/>
          <w:lang w:val="en-US" w:eastAsia="zh-CN" w:bidi="ar"/>
          <w14:textFill>
            <w14:solidFill>
              <w14:schemeClr w14:val="tx1"/>
            </w14:solidFill>
          </w14:textFill>
        </w:rPr>
        <w:t>本表中</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规定</w:t>
      </w:r>
      <w:r>
        <w:rPr>
          <w:rFonts w:hint="eastAsia" w:ascii="黑体" w:hAnsi="黑体" w:eastAsia="黑体" w:cs="黑体"/>
          <w:b/>
          <w:bCs/>
          <w:color w:val="000000" w:themeColor="text1"/>
          <w:sz w:val="24"/>
          <w:szCs w:val="24"/>
          <w:highlight w:val="none"/>
          <w:u w:val="single"/>
          <w14:textFill>
            <w14:solidFill>
              <w14:schemeClr w14:val="tx1"/>
            </w14:solidFill>
          </w14:textFill>
        </w:rPr>
        <w:t>主要材料品牌</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(均为河北省消防品牌库备案）的材料及设备必须按规定品牌执行，未规定品牌的主要材料由投标人自主考虑，但须满足图纸设计、使用和验收要求，符合国家现行验收规范且在投标时在品牌表中列明。</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left="-199" w:leftChars="-95" w:right="-92" w:rightChars="-44" w:firstLine="133" w:firstLineChars="55"/>
        <w:jc w:val="left"/>
        <w:textAlignment w:val="auto"/>
        <w:rPr>
          <w:rFonts w:hint="eastAsia" w:ascii="黑体" w:hAnsi="黑体" w:eastAsia="黑体" w:cs="黑体"/>
          <w:b w:val="0"/>
          <w:bCs w:val="0"/>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五、招标要求：</w:t>
      </w:r>
      <w:r>
        <w:rPr>
          <w:rFonts w:hint="eastAsia" w:ascii="黑体" w:hAnsi="黑体" w:eastAsia="黑体" w:cs="黑体"/>
          <w:b w:val="0"/>
          <w:bCs w:val="0"/>
          <w:color w:val="auto"/>
          <w:kern w:val="0"/>
          <w:sz w:val="24"/>
          <w:szCs w:val="24"/>
          <w:highlight w:val="none"/>
          <w:lang w:val="en-US" w:eastAsia="zh-CN" w:bidi="ar"/>
        </w:rPr>
        <w:t>本工程采用</w:t>
      </w:r>
      <w:r>
        <w:rPr>
          <w:rFonts w:hint="eastAsia" w:ascii="黑体" w:hAnsi="黑体" w:eastAsia="黑体" w:cs="黑体"/>
          <w:b w:val="0"/>
          <w:bCs w:val="0"/>
          <w:color w:val="auto"/>
          <w:kern w:val="0"/>
          <w:sz w:val="24"/>
          <w:szCs w:val="24"/>
          <w:highlight w:val="none"/>
          <w:u w:val="single"/>
          <w:lang w:val="en-US" w:eastAsia="zh-CN" w:bidi="ar"/>
        </w:rPr>
        <w:t>网上竞价、先招后议</w:t>
      </w:r>
      <w:r>
        <w:rPr>
          <w:rFonts w:hint="eastAsia" w:ascii="黑体" w:hAnsi="黑体" w:eastAsia="黑体" w:cs="黑体"/>
          <w:b w:val="0"/>
          <w:bCs w:val="0"/>
          <w:color w:val="auto"/>
          <w:kern w:val="0"/>
          <w:sz w:val="24"/>
          <w:szCs w:val="24"/>
          <w:highlight w:val="none"/>
          <w:lang w:val="en-US" w:eastAsia="zh-CN" w:bidi="ar"/>
        </w:rPr>
        <w:t>方式，计划选择1名中标人。</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六、计划工期：</w:t>
      </w:r>
      <w:r>
        <w:rPr>
          <w:rFonts w:hint="eastAsia" w:ascii="黑体" w:hAnsi="黑体" w:eastAsia="黑体" w:cs="黑体"/>
          <w:color w:val="auto"/>
          <w:kern w:val="0"/>
          <w:sz w:val="24"/>
          <w:szCs w:val="24"/>
          <w:highlight w:val="none"/>
          <w:lang w:bidi="ar"/>
        </w:rPr>
        <w:t>满足招标人施工节点要求，工期约</w:t>
      </w:r>
      <w:r>
        <w:rPr>
          <w:rFonts w:hint="eastAsia" w:ascii="宋体" w:hAnsi="宋体" w:cs="宋体"/>
          <w:bCs/>
          <w:kern w:val="0"/>
          <w:sz w:val="24"/>
          <w:szCs w:val="24"/>
          <w:highlight w:val="none"/>
          <w:u w:val="single"/>
          <w:shd w:val="clear" w:color="auto" w:fill="FFFFFF"/>
          <w:lang w:val="en-US" w:eastAsia="zh-CN" w:bidi="ar"/>
        </w:rPr>
        <w:t>45</w:t>
      </w:r>
      <w:r>
        <w:rPr>
          <w:rFonts w:hint="eastAsia" w:ascii="黑体" w:hAnsi="黑体" w:eastAsia="黑体" w:cs="黑体"/>
          <w:color w:val="auto"/>
          <w:kern w:val="0"/>
          <w:sz w:val="24"/>
          <w:szCs w:val="24"/>
          <w:highlight w:val="none"/>
          <w:lang w:bidi="ar"/>
        </w:rPr>
        <w:t>天。</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rPr>
      </w:pPr>
      <w:r>
        <w:rPr>
          <w:rFonts w:hint="eastAsia" w:ascii="黑体" w:hAnsi="黑体" w:eastAsia="黑体" w:cs="黑体"/>
          <w:b/>
          <w:bCs/>
          <w:color w:val="auto"/>
          <w:kern w:val="0"/>
          <w:sz w:val="24"/>
          <w:szCs w:val="24"/>
          <w:highlight w:val="none"/>
          <w:lang w:bidi="ar"/>
        </w:rPr>
        <w:t>七、质量标准：</w:t>
      </w:r>
      <w:r>
        <w:rPr>
          <w:rFonts w:hint="eastAsia" w:ascii="黑体" w:hAnsi="黑体" w:eastAsia="黑体" w:cs="黑体"/>
          <w:b w:val="0"/>
          <w:bCs w:val="0"/>
          <w:color w:val="auto"/>
          <w:kern w:val="0"/>
          <w:sz w:val="24"/>
          <w:szCs w:val="24"/>
          <w:highlight w:val="none"/>
          <w:lang w:bidi="ar"/>
        </w:rPr>
        <w:t>满足图纸设计和使用要求，符合国家现行验收规范</w:t>
      </w:r>
      <w:r>
        <w:rPr>
          <w:rFonts w:hint="eastAsia" w:ascii="黑体" w:hAnsi="黑体" w:eastAsia="黑体" w:cs="黑体"/>
          <w:color w:val="auto"/>
          <w:kern w:val="0"/>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bidi="ar"/>
        </w:rPr>
        <w:t>八、文明施工标准：</w:t>
      </w:r>
      <w:r>
        <w:rPr>
          <w:rFonts w:hint="eastAsia" w:ascii="黑体" w:hAnsi="黑体" w:eastAsia="黑体" w:cs="黑体"/>
          <w:color w:val="auto"/>
          <w:kern w:val="0"/>
          <w:sz w:val="24"/>
          <w:szCs w:val="24"/>
          <w:highlight w:val="none"/>
          <w:lang w:bidi="ar"/>
        </w:rPr>
        <w:t>文明示范工地。</w:t>
      </w:r>
    </w:p>
    <w:p>
      <w:pPr>
        <w:widowControl/>
        <w:spacing w:line="360" w:lineRule="auto"/>
        <w:ind w:firstLine="482" w:firstLineChars="200"/>
        <w:jc w:val="left"/>
        <w:rPr>
          <w:rFonts w:hint="eastAsia" w:ascii="黑体" w:hAnsi="黑体" w:eastAsia="黑体" w:cs="黑体"/>
          <w:b w:val="0"/>
          <w:bCs w:val="0"/>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九、报名合格条件：</w:t>
      </w:r>
      <w:r>
        <w:rPr>
          <w:rFonts w:hint="eastAsia" w:ascii="黑体" w:hAnsi="黑体" w:eastAsia="黑体" w:cs="黑体"/>
          <w:b/>
          <w:bCs/>
          <w:color w:val="auto"/>
          <w:kern w:val="0"/>
          <w:sz w:val="24"/>
          <w:szCs w:val="24"/>
          <w:highlight w:val="none"/>
          <w:lang w:val="en-US" w:eastAsia="zh-CN" w:bidi="ar"/>
        </w:rPr>
        <w:t>1、</w:t>
      </w:r>
      <w:r>
        <w:rPr>
          <w:rFonts w:hint="eastAsia" w:ascii="黑体" w:hAnsi="黑体" w:eastAsia="黑体" w:cs="黑体"/>
          <w:b w:val="0"/>
          <w:bCs w:val="0"/>
          <w:color w:val="auto"/>
          <w:kern w:val="0"/>
          <w:sz w:val="24"/>
          <w:szCs w:val="24"/>
          <w:highlight w:val="none"/>
          <w:lang w:bidi="ar"/>
        </w:rPr>
        <w:t>投标人具有独立法人资格，具有一般纳税人资格，能够提供</w:t>
      </w:r>
      <w:r>
        <w:rPr>
          <w:rFonts w:hint="eastAsia" w:ascii="黑体" w:hAnsi="黑体" w:eastAsia="黑体" w:cs="黑体"/>
          <w:b w:val="0"/>
          <w:bCs w:val="0"/>
          <w:color w:val="auto"/>
          <w:kern w:val="0"/>
          <w:sz w:val="24"/>
          <w:szCs w:val="24"/>
          <w:highlight w:val="none"/>
          <w:lang w:val="en-US" w:eastAsia="zh-CN" w:bidi="ar"/>
        </w:rPr>
        <w:t>9</w:t>
      </w:r>
      <w:r>
        <w:rPr>
          <w:rFonts w:hint="eastAsia" w:ascii="黑体" w:hAnsi="黑体" w:eastAsia="黑体" w:cs="黑体"/>
          <w:b w:val="0"/>
          <w:bCs w:val="0"/>
          <w:color w:val="auto"/>
          <w:kern w:val="0"/>
          <w:sz w:val="24"/>
          <w:szCs w:val="24"/>
          <w:highlight w:val="none"/>
          <w:lang w:bidi="ar"/>
        </w:rPr>
        <w:t>%税率增值税专用发票；持有工商管理部门核发的法人营业执照；</w:t>
      </w:r>
      <w:r>
        <w:rPr>
          <w:rFonts w:hint="eastAsia" w:ascii="黑体" w:hAnsi="黑体" w:eastAsia="黑体" w:cs="黑体"/>
          <w:b w:val="0"/>
          <w:bCs w:val="0"/>
          <w:color w:val="auto"/>
          <w:kern w:val="0"/>
          <w:sz w:val="24"/>
          <w:szCs w:val="24"/>
          <w:highlight w:val="none"/>
          <w:lang w:val="en-US" w:eastAsia="zh-CN" w:bidi="ar"/>
        </w:rPr>
        <w:t>2、</w:t>
      </w:r>
      <w:r>
        <w:rPr>
          <w:rFonts w:hint="eastAsia" w:ascii="黑体" w:hAnsi="黑体" w:eastAsia="黑体" w:cs="黑体"/>
          <w:b w:val="0"/>
          <w:bCs w:val="0"/>
          <w:color w:val="auto"/>
          <w:kern w:val="0"/>
          <w:sz w:val="24"/>
          <w:szCs w:val="24"/>
          <w:highlight w:val="none"/>
          <w:lang w:bidi="ar"/>
        </w:rPr>
        <w:t>投标人具有建设行政主管部门颁发的</w:t>
      </w:r>
      <w:r>
        <w:rPr>
          <w:rFonts w:hint="eastAsia" w:ascii="黑体" w:hAnsi="黑体" w:eastAsia="黑体" w:cs="黑体"/>
          <w:b w:val="0"/>
          <w:bCs w:val="0"/>
          <w:color w:val="auto"/>
          <w:kern w:val="0"/>
          <w:sz w:val="24"/>
          <w:szCs w:val="24"/>
          <w:highlight w:val="none"/>
          <w:lang w:eastAsia="zh-CN" w:bidi="ar"/>
        </w:rPr>
        <w:t>消防设施工程专业承包</w:t>
      </w:r>
      <w:r>
        <w:rPr>
          <w:rFonts w:hint="eastAsia" w:ascii="黑体" w:hAnsi="黑体" w:eastAsia="黑体" w:cs="黑体"/>
          <w:b w:val="0"/>
          <w:bCs w:val="0"/>
          <w:color w:val="FF0000"/>
          <w:kern w:val="0"/>
          <w:sz w:val="24"/>
          <w:szCs w:val="24"/>
          <w:highlight w:val="none"/>
          <w:lang w:val="en-US" w:eastAsia="zh-CN" w:bidi="ar"/>
        </w:rPr>
        <w:t>贰</w:t>
      </w:r>
      <w:r>
        <w:rPr>
          <w:rFonts w:hint="eastAsia" w:ascii="黑体" w:hAnsi="黑体" w:eastAsia="黑体" w:cs="黑体"/>
          <w:b w:val="0"/>
          <w:bCs w:val="0"/>
          <w:color w:val="FF0000"/>
          <w:kern w:val="0"/>
          <w:sz w:val="24"/>
          <w:szCs w:val="24"/>
          <w:highlight w:val="none"/>
          <w:lang w:eastAsia="zh-CN" w:bidi="ar"/>
        </w:rPr>
        <w:t>级</w:t>
      </w:r>
      <w:r>
        <w:rPr>
          <w:rFonts w:hint="eastAsia" w:ascii="黑体" w:hAnsi="黑体" w:eastAsia="黑体" w:cs="黑体"/>
          <w:b w:val="0"/>
          <w:bCs w:val="0"/>
          <w:color w:val="auto"/>
          <w:kern w:val="0"/>
          <w:sz w:val="24"/>
          <w:szCs w:val="24"/>
          <w:highlight w:val="none"/>
          <w:lang w:bidi="ar"/>
        </w:rPr>
        <w:t>资质证书；</w:t>
      </w:r>
      <w:r>
        <w:rPr>
          <w:rFonts w:hint="eastAsia" w:ascii="黑体" w:hAnsi="黑体" w:eastAsia="黑体" w:cs="黑体"/>
          <w:b w:val="0"/>
          <w:bCs w:val="0"/>
          <w:color w:val="auto"/>
          <w:kern w:val="0"/>
          <w:sz w:val="24"/>
          <w:szCs w:val="24"/>
          <w:highlight w:val="none"/>
          <w:lang w:val="en-US" w:eastAsia="zh-CN" w:bidi="ar"/>
        </w:rPr>
        <w:t>3、</w:t>
      </w:r>
      <w:r>
        <w:rPr>
          <w:rFonts w:hint="eastAsia" w:ascii="黑体" w:hAnsi="黑体" w:eastAsia="黑体" w:cs="黑体"/>
          <w:b w:val="0"/>
          <w:bCs w:val="0"/>
          <w:color w:val="auto"/>
          <w:kern w:val="0"/>
          <w:sz w:val="24"/>
          <w:szCs w:val="24"/>
          <w:highlight w:val="none"/>
          <w:lang w:bidi="ar"/>
        </w:rPr>
        <w:t>投标人具有有效的安全生产许可证；</w:t>
      </w:r>
      <w:r>
        <w:rPr>
          <w:rFonts w:hint="eastAsia" w:ascii="黑体" w:hAnsi="黑体" w:eastAsia="黑体" w:cs="黑体"/>
          <w:b w:val="0"/>
          <w:bCs w:val="0"/>
          <w:color w:val="auto"/>
          <w:kern w:val="0"/>
          <w:sz w:val="24"/>
          <w:szCs w:val="24"/>
          <w:highlight w:val="none"/>
          <w:lang w:val="en-US" w:eastAsia="zh-CN" w:bidi="ar"/>
        </w:rPr>
        <w:t>4、</w:t>
      </w:r>
      <w:r>
        <w:rPr>
          <w:rFonts w:hint="eastAsia" w:ascii="黑体" w:hAnsi="黑体" w:eastAsia="黑体" w:cs="黑体"/>
          <w:b w:val="0"/>
          <w:bCs w:val="0"/>
          <w:color w:val="auto"/>
          <w:kern w:val="0"/>
          <w:sz w:val="24"/>
          <w:szCs w:val="24"/>
          <w:highlight w:val="none"/>
          <w:lang w:bidi="ar"/>
        </w:rPr>
        <w:t>投标人具有良好的商业信誉，必须具有</w:t>
      </w:r>
      <w:r>
        <w:rPr>
          <w:rFonts w:hint="eastAsia" w:ascii="黑体" w:hAnsi="黑体" w:eastAsia="黑体" w:cs="黑体"/>
          <w:b w:val="0"/>
          <w:bCs w:val="0"/>
          <w:color w:val="auto"/>
          <w:kern w:val="0"/>
          <w:sz w:val="24"/>
          <w:szCs w:val="24"/>
          <w:highlight w:val="none"/>
          <w:lang w:val="en-US" w:eastAsia="zh-CN" w:bidi="ar"/>
        </w:rPr>
        <w:t>机电</w:t>
      </w:r>
      <w:r>
        <w:rPr>
          <w:rFonts w:hint="eastAsia" w:ascii="黑体" w:hAnsi="黑体" w:eastAsia="黑体" w:cs="黑体"/>
          <w:b w:val="0"/>
          <w:bCs w:val="0"/>
          <w:color w:val="auto"/>
          <w:kern w:val="0"/>
          <w:sz w:val="24"/>
          <w:szCs w:val="24"/>
          <w:highlight w:val="none"/>
          <w:lang w:eastAsia="zh-CN" w:bidi="ar"/>
        </w:rPr>
        <w:t>工程</w:t>
      </w:r>
      <w:r>
        <w:rPr>
          <w:rFonts w:hint="eastAsia" w:ascii="黑体" w:hAnsi="黑体" w:eastAsia="黑体" w:cs="黑体"/>
          <w:b w:val="0"/>
          <w:bCs w:val="0"/>
          <w:color w:val="auto"/>
          <w:kern w:val="0"/>
          <w:sz w:val="24"/>
          <w:szCs w:val="24"/>
          <w:highlight w:val="none"/>
          <w:lang w:bidi="ar"/>
        </w:rPr>
        <w:t>专业承包所必需的设备、专业技术能力及资金实力</w:t>
      </w:r>
      <w:r>
        <w:rPr>
          <w:rFonts w:hint="eastAsia" w:ascii="黑体" w:hAnsi="黑体" w:eastAsia="黑体" w:cs="黑体"/>
          <w:b w:val="0"/>
          <w:bCs w:val="0"/>
          <w:color w:val="auto"/>
          <w:kern w:val="0"/>
          <w:sz w:val="24"/>
          <w:szCs w:val="24"/>
          <w:highlight w:val="none"/>
          <w:lang w:val="en-US" w:eastAsia="zh-CN" w:bidi="ar"/>
        </w:rPr>
        <w:t>5、</w:t>
      </w:r>
      <w:r>
        <w:rPr>
          <w:rFonts w:hint="eastAsia" w:ascii="宋体" w:hAnsi="宋体" w:eastAsia="宋体" w:cs="宋体"/>
          <w:b/>
          <w:bCs w:val="0"/>
          <w:kern w:val="0"/>
          <w:sz w:val="24"/>
          <w:szCs w:val="24"/>
          <w:highlight w:val="none"/>
          <w:u w:val="none"/>
          <w:shd w:val="clear" w:color="auto" w:fill="FFFFFF"/>
          <w:lang w:val="en-US" w:eastAsia="zh-CN" w:bidi="ar"/>
        </w:rPr>
        <w:t>拟派项目经理需为</w:t>
      </w:r>
      <w:r>
        <w:rPr>
          <w:rFonts w:hint="eastAsia" w:ascii="宋体" w:hAnsi="宋体" w:cs="宋体"/>
          <w:b/>
          <w:bCs w:val="0"/>
          <w:kern w:val="0"/>
          <w:sz w:val="24"/>
          <w:szCs w:val="24"/>
          <w:highlight w:val="none"/>
          <w:u w:val="none"/>
          <w:shd w:val="clear" w:color="auto" w:fill="FFFFFF"/>
          <w:lang w:val="en-US" w:eastAsia="zh-CN" w:bidi="ar"/>
        </w:rPr>
        <w:t>机电</w:t>
      </w:r>
      <w:r>
        <w:rPr>
          <w:rFonts w:hint="eastAsia" w:ascii="宋体" w:hAnsi="宋体" w:eastAsia="宋体" w:cs="宋体"/>
          <w:b/>
          <w:bCs w:val="0"/>
          <w:kern w:val="0"/>
          <w:sz w:val="24"/>
          <w:szCs w:val="24"/>
          <w:highlight w:val="none"/>
          <w:u w:val="none"/>
          <w:shd w:val="clear" w:color="auto" w:fill="FFFFFF"/>
          <w:lang w:val="en-US" w:eastAsia="zh-CN" w:bidi="ar"/>
        </w:rPr>
        <w:t>工程专业二级及以上注册建造师，有效的安全B本，无在建工程。</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hAnsi="宋体" w:cs="宋体"/>
          <w:b/>
          <w:bCs w:val="0"/>
          <w:color w:val="auto"/>
          <w:kern w:val="0"/>
          <w:sz w:val="24"/>
          <w:szCs w:val="24"/>
          <w:highlight w:val="none"/>
          <w:u w:val="none"/>
          <w:shd w:val="clear" w:color="auto" w:fill="FFFFFF"/>
          <w:lang w:val="en-US" w:eastAsia="zh-CN" w:bidi="ar"/>
        </w:rPr>
      </w:pPr>
      <w:r>
        <w:rPr>
          <w:rFonts w:hint="eastAsia" w:hAnsi="宋体" w:cs="宋体"/>
          <w:b/>
          <w:bCs w:val="0"/>
          <w:color w:val="auto"/>
          <w:kern w:val="0"/>
          <w:sz w:val="24"/>
          <w:szCs w:val="24"/>
          <w:highlight w:val="none"/>
          <w:u w:val="none"/>
          <w:shd w:val="clear" w:color="auto" w:fill="FFFFFF"/>
          <w:lang w:val="en-US" w:eastAsia="zh-CN" w:bidi="ar"/>
        </w:rPr>
        <w:t>8、2020年4月1日至今，合同额在100万元及以上同类消防专业工程业绩一项（石家庄地区，最好可接待考察，提供合同扫描件）；</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2" w:firstLineChars="55"/>
        <w:jc w:val="left"/>
        <w:textAlignment w:val="auto"/>
        <w:rPr>
          <w:rFonts w:hint="eastAsia" w:ascii="黑体" w:hAnsi="黑体" w:eastAsia="黑体" w:cs="黑体"/>
          <w:b w:val="0"/>
          <w:bCs w:val="0"/>
          <w:color w:val="auto"/>
          <w:kern w:val="0"/>
          <w:sz w:val="24"/>
          <w:szCs w:val="24"/>
          <w:highlight w:val="none"/>
          <w:lang w:bidi="ar"/>
        </w:rPr>
      </w:pPr>
      <w:r>
        <w:rPr>
          <w:rFonts w:hint="eastAsia" w:ascii="黑体" w:hAnsi="黑体" w:eastAsia="黑体" w:cs="黑体"/>
          <w:b w:val="0"/>
          <w:bCs w:val="0"/>
          <w:color w:val="auto"/>
          <w:kern w:val="0"/>
          <w:sz w:val="24"/>
          <w:szCs w:val="24"/>
          <w:highlight w:val="none"/>
          <w:lang w:val="en-US" w:eastAsia="zh-CN" w:bidi="ar"/>
        </w:rPr>
        <w:t>其他要求：</w:t>
      </w:r>
      <w:r>
        <w:rPr>
          <w:rFonts w:hint="eastAsia" w:ascii="黑体" w:hAnsi="黑体" w:eastAsia="黑体" w:cs="黑体"/>
          <w:b w:val="0"/>
          <w:bCs w:val="0"/>
          <w:color w:val="auto"/>
          <w:kern w:val="0"/>
          <w:sz w:val="24"/>
          <w:szCs w:val="24"/>
          <w:highlight w:val="none"/>
          <w:lang w:bidi="ar"/>
        </w:rPr>
        <w:t>①被集团列入合格供应商黑名单企业不允许报名投标。②近三年（20</w:t>
      </w:r>
      <w:r>
        <w:rPr>
          <w:rFonts w:hint="eastAsia" w:ascii="黑体" w:hAnsi="黑体" w:eastAsia="黑体" w:cs="黑体"/>
          <w:b w:val="0"/>
          <w:bCs w:val="0"/>
          <w:color w:val="auto"/>
          <w:kern w:val="0"/>
          <w:sz w:val="24"/>
          <w:szCs w:val="24"/>
          <w:highlight w:val="none"/>
          <w:lang w:val="en-US" w:eastAsia="zh-CN" w:bidi="ar"/>
        </w:rPr>
        <w:t>21</w:t>
      </w:r>
      <w:r>
        <w:rPr>
          <w:rFonts w:hint="eastAsia" w:ascii="黑体" w:hAnsi="黑体" w:eastAsia="黑体" w:cs="黑体"/>
          <w:b w:val="0"/>
          <w:bCs w:val="0"/>
          <w:color w:val="auto"/>
          <w:kern w:val="0"/>
          <w:sz w:val="24"/>
          <w:szCs w:val="24"/>
          <w:highlight w:val="none"/>
          <w:lang w:bidi="ar"/>
        </w:rPr>
        <w:t>年</w:t>
      </w:r>
      <w:r>
        <w:rPr>
          <w:rFonts w:hint="eastAsia" w:ascii="黑体" w:hAnsi="黑体" w:eastAsia="黑体" w:cs="黑体"/>
          <w:b w:val="0"/>
          <w:bCs w:val="0"/>
          <w:color w:val="auto"/>
          <w:kern w:val="0"/>
          <w:sz w:val="24"/>
          <w:szCs w:val="24"/>
          <w:highlight w:val="none"/>
          <w:lang w:val="en-US" w:eastAsia="zh-CN" w:bidi="ar"/>
        </w:rPr>
        <w:t>4</w:t>
      </w:r>
      <w:r>
        <w:rPr>
          <w:rFonts w:hint="eastAsia" w:ascii="黑体" w:hAnsi="黑体" w:eastAsia="黑体" w:cs="黑体"/>
          <w:b w:val="0"/>
          <w:bCs w:val="0"/>
          <w:color w:val="auto"/>
          <w:kern w:val="0"/>
          <w:sz w:val="24"/>
          <w:szCs w:val="24"/>
          <w:highlight w:val="none"/>
          <w:lang w:bidi="ar"/>
        </w:rPr>
        <w:t>月至20</w:t>
      </w:r>
      <w:r>
        <w:rPr>
          <w:rFonts w:hint="eastAsia" w:ascii="黑体" w:hAnsi="黑体" w:eastAsia="黑体" w:cs="黑体"/>
          <w:b w:val="0"/>
          <w:bCs w:val="0"/>
          <w:color w:val="auto"/>
          <w:kern w:val="0"/>
          <w:sz w:val="24"/>
          <w:szCs w:val="24"/>
          <w:highlight w:val="none"/>
          <w:lang w:val="en-US" w:eastAsia="zh-CN" w:bidi="ar"/>
        </w:rPr>
        <w:t>23</w:t>
      </w:r>
      <w:r>
        <w:rPr>
          <w:rFonts w:hint="eastAsia" w:ascii="黑体" w:hAnsi="黑体" w:eastAsia="黑体" w:cs="黑体"/>
          <w:b w:val="0"/>
          <w:bCs w:val="0"/>
          <w:color w:val="auto"/>
          <w:kern w:val="0"/>
          <w:sz w:val="24"/>
          <w:szCs w:val="24"/>
          <w:highlight w:val="none"/>
          <w:lang w:bidi="ar"/>
        </w:rPr>
        <w:t>年</w:t>
      </w:r>
      <w:r>
        <w:rPr>
          <w:rFonts w:hint="eastAsia" w:ascii="黑体" w:hAnsi="黑体" w:eastAsia="黑体" w:cs="黑体"/>
          <w:b w:val="0"/>
          <w:bCs w:val="0"/>
          <w:color w:val="auto"/>
          <w:kern w:val="0"/>
          <w:sz w:val="24"/>
          <w:szCs w:val="24"/>
          <w:highlight w:val="none"/>
          <w:lang w:val="en-US" w:eastAsia="zh-CN" w:bidi="ar"/>
        </w:rPr>
        <w:t>5</w:t>
      </w:r>
      <w:r>
        <w:rPr>
          <w:rFonts w:hint="eastAsia" w:ascii="黑体" w:hAnsi="黑体" w:eastAsia="黑体" w:cs="黑体"/>
          <w:b w:val="0"/>
          <w:bCs w:val="0"/>
          <w:color w:val="auto"/>
          <w:kern w:val="0"/>
          <w:sz w:val="24"/>
          <w:szCs w:val="24"/>
          <w:highlight w:val="none"/>
          <w:lang w:bidi="ar"/>
        </w:rPr>
        <w:t>月）未因质量问题受到业主举报或政府主管部门的处罚，财务状况良好，履行合同所需的资金、人员、设备、技术等方面能力强以及提供及时、可靠、高效、优质的服务的企业。③本项目不接受联合体投标。④未尽事宜按照招标文件执行。</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ascii="黑体" w:hAnsi="黑体" w:eastAsia="黑体" w:cs="黑体"/>
          <w:color w:val="FF0000"/>
          <w:sz w:val="24"/>
          <w:szCs w:val="24"/>
          <w:highlight w:val="none"/>
        </w:rPr>
      </w:pPr>
      <w:r>
        <w:rPr>
          <w:rFonts w:hint="eastAsia" w:ascii="黑体" w:hAnsi="黑体" w:eastAsia="黑体" w:cs="黑体"/>
          <w:b/>
          <w:bCs/>
          <w:color w:val="auto"/>
          <w:kern w:val="0"/>
          <w:sz w:val="24"/>
          <w:szCs w:val="24"/>
          <w:highlight w:val="none"/>
          <w:lang w:bidi="ar"/>
        </w:rPr>
        <w:t>十、投标方式：</w:t>
      </w:r>
      <w:r>
        <w:rPr>
          <w:rFonts w:hint="eastAsia" w:ascii="黑体" w:hAnsi="黑体" w:eastAsia="黑体" w:cs="黑体"/>
          <w:color w:val="auto"/>
          <w:kern w:val="0"/>
          <w:sz w:val="24"/>
          <w:szCs w:val="24"/>
          <w:highlight w:val="none"/>
          <w:lang w:bidi="ar"/>
        </w:rPr>
        <w:t>本工程投标先在中采网电子商务平台上进行网上报价竞标，电子平台网址为http://webbiao.com/。投标人须先到项目部报名（报名时携带U盘，拷取电子版图纸），项目部对报名单位进行资格预审，资格审查结束后，项目部组织合格投标人在电子平台进行注册，开通投标登陆账号，</w:t>
      </w:r>
      <w:r>
        <w:rPr>
          <w:rFonts w:hint="eastAsia" w:ascii="黑体" w:hAnsi="黑体" w:eastAsia="黑体" w:cs="黑体"/>
          <w:color w:val="FF0000"/>
          <w:kern w:val="0"/>
          <w:sz w:val="24"/>
          <w:szCs w:val="24"/>
          <w:highlight w:val="none"/>
          <w:lang w:bidi="ar"/>
        </w:rPr>
        <w:t>并由中采网进行指导。</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ascii="黑体" w:hAnsi="黑体" w:eastAsia="黑体" w:cs="黑体"/>
          <w:color w:val="FF0000"/>
          <w:kern w:val="0"/>
          <w:sz w:val="24"/>
          <w:szCs w:val="24"/>
          <w:highlight w:val="none"/>
          <w:u w:val="single"/>
          <w:lang w:bidi="ar"/>
        </w:rPr>
      </w:pPr>
      <w:r>
        <w:rPr>
          <w:rFonts w:hint="eastAsia" w:ascii="黑体" w:hAnsi="黑体" w:eastAsia="黑体" w:cs="黑体"/>
          <w:b/>
          <w:bCs/>
          <w:color w:val="FF0000"/>
          <w:kern w:val="0"/>
          <w:sz w:val="24"/>
          <w:szCs w:val="24"/>
          <w:highlight w:val="none"/>
          <w:lang w:bidi="ar"/>
        </w:rPr>
        <w:t>十一、报名时间：</w:t>
      </w:r>
      <w:r>
        <w:rPr>
          <w:rFonts w:hint="eastAsia" w:ascii="黑体" w:hAnsi="黑体" w:eastAsia="黑体" w:cs="黑体"/>
          <w:color w:val="FF0000"/>
          <w:kern w:val="0"/>
          <w:sz w:val="24"/>
          <w:szCs w:val="24"/>
          <w:highlight w:val="none"/>
          <w:u w:val="single"/>
          <w:lang w:bidi="ar"/>
        </w:rPr>
        <w:t xml:space="preserve"> 20</w:t>
      </w:r>
      <w:r>
        <w:rPr>
          <w:rFonts w:hint="eastAsia" w:ascii="黑体" w:hAnsi="黑体" w:eastAsia="黑体" w:cs="黑体"/>
          <w:color w:val="FF0000"/>
          <w:kern w:val="0"/>
          <w:sz w:val="24"/>
          <w:szCs w:val="24"/>
          <w:highlight w:val="none"/>
          <w:u w:val="single"/>
          <w:lang w:val="en-US" w:eastAsia="zh-CN" w:bidi="ar"/>
        </w:rPr>
        <w:t>23</w:t>
      </w:r>
      <w:r>
        <w:rPr>
          <w:rFonts w:hint="eastAsia" w:ascii="黑体" w:hAnsi="黑体" w:eastAsia="黑体" w:cs="黑体"/>
          <w:color w:val="FF0000"/>
          <w:kern w:val="0"/>
          <w:sz w:val="24"/>
          <w:szCs w:val="24"/>
          <w:highlight w:val="none"/>
          <w:u w:val="single"/>
          <w:lang w:bidi="ar"/>
        </w:rPr>
        <w:t>年</w:t>
      </w:r>
      <w:r>
        <w:rPr>
          <w:rFonts w:hint="eastAsia" w:ascii="黑体" w:hAnsi="黑体" w:eastAsia="黑体" w:cs="黑体"/>
          <w:color w:val="FF0000"/>
          <w:kern w:val="0"/>
          <w:sz w:val="24"/>
          <w:szCs w:val="24"/>
          <w:highlight w:val="none"/>
          <w:u w:val="single"/>
          <w:lang w:val="en-US" w:eastAsia="zh-CN" w:bidi="ar"/>
        </w:rPr>
        <w:t>5</w:t>
      </w:r>
      <w:r>
        <w:rPr>
          <w:rFonts w:hint="eastAsia" w:ascii="黑体" w:hAnsi="黑体" w:eastAsia="黑体" w:cs="黑体"/>
          <w:color w:val="FF0000"/>
          <w:kern w:val="0"/>
          <w:sz w:val="24"/>
          <w:szCs w:val="24"/>
          <w:highlight w:val="none"/>
          <w:u w:val="single"/>
          <w:lang w:bidi="ar"/>
        </w:rPr>
        <w:t>月</w:t>
      </w:r>
      <w:r>
        <w:rPr>
          <w:rFonts w:hint="eastAsia" w:ascii="黑体" w:hAnsi="黑体" w:eastAsia="黑体" w:cs="黑体"/>
          <w:color w:val="FF0000"/>
          <w:kern w:val="0"/>
          <w:sz w:val="24"/>
          <w:szCs w:val="24"/>
          <w:highlight w:val="none"/>
          <w:u w:val="single"/>
          <w:lang w:val="en-US" w:eastAsia="zh-CN" w:bidi="ar"/>
        </w:rPr>
        <w:t>5</w:t>
      </w:r>
      <w:r>
        <w:rPr>
          <w:rFonts w:hint="eastAsia" w:ascii="黑体" w:hAnsi="黑体" w:eastAsia="黑体" w:cs="黑体"/>
          <w:color w:val="FF0000"/>
          <w:kern w:val="0"/>
          <w:sz w:val="24"/>
          <w:szCs w:val="24"/>
          <w:highlight w:val="none"/>
          <w:u w:val="single"/>
          <w:lang w:bidi="ar"/>
        </w:rPr>
        <w:t>日8：00~20</w:t>
      </w:r>
      <w:r>
        <w:rPr>
          <w:rFonts w:hint="eastAsia" w:ascii="黑体" w:hAnsi="黑体" w:eastAsia="黑体" w:cs="黑体"/>
          <w:color w:val="FF0000"/>
          <w:kern w:val="0"/>
          <w:sz w:val="24"/>
          <w:szCs w:val="24"/>
          <w:highlight w:val="none"/>
          <w:u w:val="single"/>
          <w:lang w:val="en-US" w:eastAsia="zh-CN" w:bidi="ar"/>
        </w:rPr>
        <w:t>23</w:t>
      </w:r>
      <w:r>
        <w:rPr>
          <w:rFonts w:hint="eastAsia" w:ascii="黑体" w:hAnsi="黑体" w:eastAsia="黑体" w:cs="黑体"/>
          <w:color w:val="FF0000"/>
          <w:kern w:val="0"/>
          <w:sz w:val="24"/>
          <w:szCs w:val="24"/>
          <w:highlight w:val="none"/>
          <w:u w:val="single"/>
          <w:lang w:bidi="ar"/>
        </w:rPr>
        <w:t>年</w:t>
      </w:r>
      <w:r>
        <w:rPr>
          <w:rFonts w:hint="eastAsia" w:ascii="黑体" w:hAnsi="黑体" w:eastAsia="黑体" w:cs="黑体"/>
          <w:color w:val="FF0000"/>
          <w:kern w:val="0"/>
          <w:sz w:val="24"/>
          <w:szCs w:val="24"/>
          <w:highlight w:val="none"/>
          <w:u w:val="single"/>
          <w:lang w:val="en-US" w:eastAsia="zh-CN" w:bidi="ar"/>
        </w:rPr>
        <w:t>5</w:t>
      </w:r>
      <w:r>
        <w:rPr>
          <w:rFonts w:hint="eastAsia" w:ascii="黑体" w:hAnsi="黑体" w:eastAsia="黑体" w:cs="黑体"/>
          <w:color w:val="FF0000"/>
          <w:kern w:val="0"/>
          <w:sz w:val="24"/>
          <w:szCs w:val="24"/>
          <w:highlight w:val="none"/>
          <w:u w:val="single"/>
          <w:lang w:bidi="ar"/>
        </w:rPr>
        <w:t>月</w:t>
      </w:r>
      <w:r>
        <w:rPr>
          <w:rFonts w:hint="eastAsia" w:ascii="黑体" w:hAnsi="黑体" w:eastAsia="黑体" w:cs="黑体"/>
          <w:color w:val="FF0000"/>
          <w:kern w:val="0"/>
          <w:sz w:val="24"/>
          <w:szCs w:val="24"/>
          <w:highlight w:val="none"/>
          <w:u w:val="single"/>
          <w:lang w:val="en-US" w:eastAsia="zh-CN" w:bidi="ar"/>
        </w:rPr>
        <w:t>13</w:t>
      </w:r>
      <w:r>
        <w:rPr>
          <w:rFonts w:hint="eastAsia" w:ascii="黑体" w:hAnsi="黑体" w:eastAsia="黑体" w:cs="黑体"/>
          <w:color w:val="FF0000"/>
          <w:kern w:val="0"/>
          <w:sz w:val="24"/>
          <w:szCs w:val="24"/>
          <w:highlight w:val="none"/>
          <w:u w:val="single"/>
          <w:lang w:bidi="ar"/>
        </w:rPr>
        <w:t>日18：00。</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3" w:firstLineChars="55"/>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bCs/>
          <w:color w:val="FF0000"/>
          <w:kern w:val="0"/>
          <w:sz w:val="24"/>
          <w:szCs w:val="24"/>
          <w:highlight w:val="none"/>
          <w:lang w:bidi="ar"/>
        </w:rPr>
        <w:t>十二、报名地点：</w:t>
      </w:r>
      <w:r>
        <w:rPr>
          <w:rFonts w:hint="eastAsia" w:ascii="黑体" w:hAnsi="黑体" w:eastAsia="黑体" w:cs="黑体"/>
          <w:b/>
          <w:bCs/>
          <w:color w:val="FF0000"/>
          <w:sz w:val="24"/>
          <w:szCs w:val="24"/>
          <w:highlight w:val="none"/>
          <w:u w:val="single"/>
        </w:rPr>
        <w:t>石家庄市石获南路66号建</w:t>
      </w:r>
      <w:bookmarkStart w:id="43" w:name="_GoBack"/>
      <w:bookmarkEnd w:id="43"/>
      <w:r>
        <w:rPr>
          <w:rFonts w:hint="eastAsia" w:ascii="黑体" w:hAnsi="黑体" w:eastAsia="黑体" w:cs="黑体"/>
          <w:b/>
          <w:bCs/>
          <w:color w:val="FF0000"/>
          <w:sz w:val="24"/>
          <w:szCs w:val="24"/>
          <w:highlight w:val="none"/>
          <w:u w:val="single"/>
        </w:rPr>
        <w:t>工大厦十三层</w:t>
      </w:r>
      <w:r>
        <w:rPr>
          <w:rFonts w:hint="eastAsia" w:ascii="黑体" w:hAnsi="黑体" w:eastAsia="黑体" w:cs="黑体"/>
          <w:b/>
          <w:bCs/>
          <w:color w:val="FF0000"/>
          <w:sz w:val="24"/>
          <w:szCs w:val="24"/>
          <w:highlight w:val="none"/>
          <w:u w:val="single"/>
          <w:lang w:val="en-US" w:eastAsia="zh-CN"/>
        </w:rPr>
        <w:t>经营部 联系人：王峤枫 18332150808</w:t>
      </w:r>
    </w:p>
    <w:p>
      <w:pPr>
        <w:keepNext w:val="0"/>
        <w:keepLines w:val="0"/>
        <w:pageBreakBefore w:val="0"/>
        <w:widowControl/>
        <w:kinsoku/>
        <w:wordWrap/>
        <w:overflowPunct/>
        <w:topLinePunct w:val="0"/>
        <w:autoSpaceDE/>
        <w:autoSpaceDN/>
        <w:bidi w:val="0"/>
        <w:adjustRightInd/>
        <w:snapToGrid/>
        <w:spacing w:line="312" w:lineRule="auto"/>
        <w:ind w:left="-199" w:leftChars="-95" w:right="-92" w:rightChars="-44" w:firstLine="132" w:firstLineChars="55"/>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 xml:space="preserve">  投标人报名时，需向项目部提交资格预审资料：法定代表人身份证明书、法定代表人授权委托书、营业执照、资质证书、安全生产许可证、业绩表等相关文件复印件，加盖公章。如有必要则对投标报名单位进行考察。</w:t>
      </w:r>
    </w:p>
    <w:p>
      <w:pPr>
        <w:pStyle w:val="35"/>
        <w:ind w:left="0" w:leftChars="0" w:firstLine="0" w:firstLineChars="0"/>
        <w:rPr>
          <w:rFonts w:hint="eastAsia"/>
        </w:rPr>
      </w:pPr>
      <w:r>
        <w:rPr>
          <w:rFonts w:hint="eastAsia" w:ascii="黑体" w:hAnsi="黑体" w:eastAsia="黑体" w:cs="黑体"/>
          <w:b/>
          <w:bCs/>
          <w:color w:val="FF0000"/>
          <w:kern w:val="0"/>
          <w:sz w:val="24"/>
          <w:szCs w:val="24"/>
          <w:highlight w:val="none"/>
          <w:lang w:val="en-US" w:eastAsia="zh-CN" w:bidi="ar"/>
        </w:rPr>
        <w:t>十三、开标时间</w:t>
      </w:r>
      <w:r>
        <w:rPr>
          <w:rFonts w:hint="eastAsia" w:ascii="黑体" w:hAnsi="黑体" w:eastAsia="黑体" w:cs="黑体"/>
          <w:b/>
          <w:bCs/>
          <w:color w:val="FF0000"/>
          <w:kern w:val="0"/>
          <w:sz w:val="24"/>
          <w:szCs w:val="24"/>
          <w:highlight w:val="none"/>
          <w:u w:val="single"/>
          <w:lang w:val="en-US" w:eastAsia="zh-CN" w:bidi="ar"/>
        </w:rPr>
        <w:t>:</w:t>
      </w:r>
      <w:r>
        <w:rPr>
          <w:rFonts w:hint="eastAsia" w:ascii="黑体" w:hAnsi="黑体" w:eastAsia="黑体" w:cs="黑体"/>
          <w:color w:val="FF0000"/>
          <w:kern w:val="0"/>
          <w:sz w:val="24"/>
          <w:szCs w:val="24"/>
          <w:highlight w:val="none"/>
          <w:u w:val="single"/>
          <w:lang w:val="en-US" w:eastAsia="zh-CN" w:bidi="ar"/>
        </w:rPr>
        <w:t xml:space="preserve"> 2023年5月14日下午5:00</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0" w:leftChars="0" w:right="-92" w:rightChars="-44" w:firstLine="0" w:firstLineChars="0"/>
        <w:jc w:val="left"/>
        <w:textAlignment w:val="auto"/>
        <w:rPr>
          <w:rFonts w:hint="eastAsia" w:ascii="黑体" w:hAnsi="黑体" w:eastAsia="黑体" w:cs="黑体"/>
          <w:b/>
          <w:bCs/>
          <w:color w:val="auto"/>
          <w:kern w:val="0"/>
          <w:sz w:val="24"/>
          <w:szCs w:val="24"/>
          <w:highlight w:val="none"/>
          <w:lang w:bidi="ar"/>
        </w:rPr>
      </w:pPr>
      <w:r>
        <w:rPr>
          <w:rFonts w:hint="eastAsia" w:ascii="黑体" w:hAnsi="黑体" w:eastAsia="黑体" w:cs="黑体"/>
          <w:b/>
          <w:bCs/>
          <w:color w:val="auto"/>
          <w:kern w:val="0"/>
          <w:sz w:val="24"/>
          <w:szCs w:val="24"/>
          <w:lang w:val="en-US" w:eastAsia="zh-CN" w:bidi="ar"/>
        </w:rPr>
        <w:t>十四、</w:t>
      </w:r>
      <w:r>
        <w:rPr>
          <w:rFonts w:hint="eastAsia" w:ascii="黑体" w:hAnsi="黑体" w:eastAsia="黑体" w:cs="黑体"/>
          <w:b/>
          <w:bCs/>
          <w:color w:val="auto"/>
          <w:kern w:val="0"/>
          <w:sz w:val="24"/>
          <w:szCs w:val="24"/>
          <w:highlight w:val="none"/>
          <w:lang w:bidi="ar"/>
        </w:rPr>
        <w:t>监督小组：本次招标活动遵循公开、公平、公正和诚实信用的原则，特此成立监督小组，对招标过程全程监督，包括开标、评标、定标及合同签订的全过程都将依法依规进行监督、检查。</w:t>
      </w:r>
    </w:p>
    <w:p>
      <w:pPr>
        <w:widowControl/>
        <w:spacing w:line="360" w:lineRule="auto"/>
        <w:ind w:left="-199" w:leftChars="-95" w:right="-92" w:rightChars="-44" w:firstLine="133" w:firstLineChars="55"/>
        <w:jc w:val="left"/>
        <w:rPr>
          <w:rFonts w:hint="eastAsia" w:ascii="黑体" w:hAnsi="黑体" w:eastAsia="黑体" w:cs="黑体"/>
          <w:color w:val="auto"/>
          <w:sz w:val="24"/>
          <w:szCs w:val="28"/>
          <w:highlight w:val="none"/>
          <w:lang w:val="en-US" w:eastAsia="zh-CN" w:bidi="ar"/>
        </w:rPr>
      </w:pPr>
      <w:r>
        <w:rPr>
          <w:rFonts w:hint="eastAsia" w:ascii="黑体" w:hAnsi="黑体" w:eastAsia="黑体" w:cs="黑体"/>
          <w:b/>
          <w:bCs/>
          <w:color w:val="auto"/>
          <w:sz w:val="24"/>
          <w:szCs w:val="28"/>
          <w:highlight w:val="none"/>
          <w:lang w:bidi="ar"/>
        </w:rPr>
        <w:t>十</w:t>
      </w:r>
      <w:r>
        <w:rPr>
          <w:rFonts w:hint="eastAsia" w:ascii="黑体" w:hAnsi="黑体" w:eastAsia="黑体" w:cs="黑体"/>
          <w:b/>
          <w:bCs/>
          <w:color w:val="auto"/>
          <w:sz w:val="24"/>
          <w:szCs w:val="28"/>
          <w:highlight w:val="none"/>
          <w:lang w:val="en-US" w:eastAsia="zh-CN" w:bidi="ar"/>
        </w:rPr>
        <w:t>五</w:t>
      </w:r>
      <w:r>
        <w:rPr>
          <w:rFonts w:hint="eastAsia" w:ascii="黑体" w:hAnsi="黑体" w:eastAsia="黑体" w:cs="黑体"/>
          <w:b/>
          <w:bCs/>
          <w:color w:val="auto"/>
          <w:sz w:val="24"/>
          <w:szCs w:val="28"/>
          <w:highlight w:val="none"/>
          <w:lang w:bidi="ar"/>
        </w:rPr>
        <w:t>、联系方式</w:t>
      </w:r>
      <w:r>
        <w:rPr>
          <w:rFonts w:hint="eastAsia" w:ascii="黑体" w:hAnsi="黑体" w:eastAsia="黑体" w:cs="黑体"/>
          <w:color w:val="auto"/>
          <w:sz w:val="24"/>
          <w:szCs w:val="28"/>
          <w:highlight w:val="none"/>
          <w:lang w:val="en-US" w:eastAsia="zh-CN" w:bidi="ar"/>
        </w:rPr>
        <w:t xml:space="preserve"> </w:t>
      </w:r>
    </w:p>
    <w:p>
      <w:pPr>
        <w:pStyle w:val="35"/>
        <w:ind w:left="0" w:leftChars="0" w:firstLine="264" w:firstLineChars="100"/>
        <w:rPr>
          <w:rFonts w:hint="eastAsia"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val="en-US" w:eastAsia="zh-CN" w:bidi="ar"/>
        </w:rPr>
        <w:t>经营部</w:t>
      </w:r>
      <w:r>
        <w:rPr>
          <w:rFonts w:hint="eastAsia" w:ascii="黑体" w:hAnsi="黑体" w:eastAsia="黑体" w:cs="黑体"/>
          <w:color w:val="auto"/>
          <w:sz w:val="24"/>
          <w:szCs w:val="28"/>
          <w:highlight w:val="none"/>
          <w:lang w:eastAsia="zh-CN" w:bidi="ar"/>
        </w:rPr>
        <w:t>（</w:t>
      </w:r>
      <w:r>
        <w:rPr>
          <w:rFonts w:hint="eastAsia" w:ascii="黑体" w:hAnsi="黑体" w:eastAsia="黑体" w:cs="黑体"/>
          <w:color w:val="auto"/>
          <w:sz w:val="24"/>
          <w:szCs w:val="28"/>
          <w:highlight w:val="none"/>
          <w:lang w:val="en-US" w:eastAsia="zh-CN" w:bidi="ar"/>
        </w:rPr>
        <w:t>报名</w:t>
      </w:r>
      <w:r>
        <w:rPr>
          <w:rFonts w:hint="eastAsia" w:ascii="黑体" w:hAnsi="黑体" w:eastAsia="黑体" w:cs="黑体"/>
          <w:color w:val="auto"/>
          <w:sz w:val="24"/>
          <w:szCs w:val="28"/>
          <w:highlight w:val="none"/>
          <w:lang w:eastAsia="zh-CN" w:bidi="ar"/>
        </w:rPr>
        <w:t>）</w:t>
      </w:r>
      <w:r>
        <w:rPr>
          <w:rFonts w:hint="eastAsia" w:ascii="黑体" w:hAnsi="黑体" w:eastAsia="黑体" w:cs="黑体"/>
          <w:color w:val="auto"/>
          <w:sz w:val="24"/>
          <w:szCs w:val="28"/>
          <w:highlight w:val="none"/>
          <w:lang w:val="en-US" w:eastAsia="zh-CN" w:bidi="ar"/>
        </w:rPr>
        <w:t>：王峤枫 18332150808</w:t>
      </w:r>
    </w:p>
    <w:p>
      <w:pPr>
        <w:pStyle w:val="35"/>
        <w:ind w:left="0" w:leftChars="0" w:firstLine="264" w:firstLineChars="100"/>
        <w:rPr>
          <w:rFonts w:hint="default"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bidi="ar"/>
        </w:rPr>
        <w:t>项目部</w:t>
      </w:r>
      <w:r>
        <w:rPr>
          <w:rFonts w:hint="eastAsia" w:ascii="黑体" w:hAnsi="黑体" w:eastAsia="黑体" w:cs="黑体"/>
          <w:color w:val="auto"/>
          <w:sz w:val="24"/>
          <w:szCs w:val="28"/>
          <w:highlight w:val="none"/>
          <w:lang w:val="en-US" w:eastAsia="zh-CN" w:bidi="ar"/>
        </w:rPr>
        <w:t>联系人</w:t>
      </w:r>
      <w:r>
        <w:rPr>
          <w:rFonts w:hint="eastAsia" w:ascii="黑体" w:hAnsi="黑体" w:eastAsia="黑体" w:cs="黑体"/>
          <w:color w:val="auto"/>
          <w:sz w:val="24"/>
          <w:szCs w:val="28"/>
          <w:highlight w:val="none"/>
          <w:lang w:bidi="ar"/>
        </w:rPr>
        <w:t>：</w:t>
      </w:r>
      <w:r>
        <w:rPr>
          <w:rFonts w:hint="eastAsia" w:ascii="黑体" w:hAnsi="黑体" w:eastAsia="黑体" w:cs="黑体"/>
          <w:color w:val="auto"/>
          <w:sz w:val="24"/>
          <w:szCs w:val="28"/>
          <w:highlight w:val="none"/>
          <w:lang w:val="en-US" w:eastAsia="zh-CN" w:bidi="ar"/>
        </w:rPr>
        <w:t>赵伟佳   15303378407</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default"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val="en-US" w:eastAsia="zh-CN" w:bidi="ar"/>
        </w:rPr>
        <w:t xml:space="preserve">监督部门：张垚萌 0311-67903219  </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eastAsia"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bidi="ar"/>
        </w:rPr>
        <w:t>网站技术服务热线：0311-</w:t>
      </w:r>
      <w:r>
        <w:rPr>
          <w:rFonts w:hint="eastAsia" w:ascii="黑体" w:hAnsi="黑体" w:eastAsia="黑体" w:cs="黑体"/>
          <w:color w:val="auto"/>
          <w:sz w:val="24"/>
          <w:szCs w:val="28"/>
          <w:highlight w:val="none"/>
          <w:lang w:val="en-US" w:eastAsia="zh-CN" w:bidi="ar"/>
        </w:rPr>
        <w:t>68092081</w:t>
      </w:r>
      <w:r>
        <w:rPr>
          <w:rFonts w:hint="eastAsia" w:ascii="黑体" w:hAnsi="黑体" w:eastAsia="黑体" w:cs="黑体"/>
          <w:color w:val="auto"/>
          <w:sz w:val="24"/>
          <w:szCs w:val="28"/>
          <w:highlight w:val="none"/>
          <w:lang w:bidi="ar"/>
        </w:rPr>
        <w:t xml:space="preserve">    </w:t>
      </w:r>
      <w:r>
        <w:rPr>
          <w:rFonts w:hint="eastAsia" w:ascii="黑体" w:hAnsi="黑体" w:eastAsia="黑体" w:cs="黑体"/>
          <w:color w:val="auto"/>
          <w:sz w:val="24"/>
          <w:szCs w:val="28"/>
          <w:highlight w:val="none"/>
          <w:lang w:val="en-US" w:eastAsia="zh-CN" w:bidi="ar"/>
        </w:rPr>
        <w:t>罗欢，15128126431</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eastAsia" w:ascii="黑体" w:hAnsi="黑体" w:eastAsia="黑体" w:cs="黑体"/>
          <w:color w:val="auto"/>
          <w:sz w:val="24"/>
          <w:szCs w:val="28"/>
          <w:highlight w:val="none"/>
        </w:rPr>
      </w:pPr>
      <w:r>
        <w:rPr>
          <w:rFonts w:hint="eastAsia" w:ascii="宋体" w:hAnsi="宋体"/>
          <w:sz w:val="24"/>
          <w:highlight w:val="none"/>
        </w:rPr>
        <w:t>招标服务平台：河北建工物流有限公司电子商务招标平台</w:t>
      </w:r>
    </w:p>
    <w:p>
      <w:pPr>
        <w:keepNext w:val="0"/>
        <w:keepLines w:val="0"/>
        <w:pageBreakBefore w:val="0"/>
        <w:kinsoku/>
        <w:wordWrap/>
        <w:overflowPunct/>
        <w:autoSpaceDE/>
        <w:autoSpaceDN/>
        <w:bidi w:val="0"/>
        <w:spacing w:line="480" w:lineRule="exact"/>
        <w:ind w:left="218" w:leftChars="104" w:right="105" w:rightChars="50" w:firstLine="480" w:firstLineChars="200"/>
        <w:jc w:val="righ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河北建工集团</w:t>
      </w:r>
      <w:r>
        <w:rPr>
          <w:rFonts w:hint="eastAsia" w:ascii="黑体" w:hAnsi="黑体" w:eastAsia="黑体" w:cs="黑体"/>
          <w:color w:val="auto"/>
          <w:sz w:val="24"/>
          <w:szCs w:val="28"/>
          <w:highlight w:val="none"/>
          <w:lang w:val="en-US" w:eastAsia="zh-CN"/>
        </w:rPr>
        <w:t>建筑装饰工程</w:t>
      </w:r>
      <w:r>
        <w:rPr>
          <w:rFonts w:hint="eastAsia" w:ascii="黑体" w:hAnsi="黑体" w:eastAsia="黑体" w:cs="黑体"/>
          <w:color w:val="auto"/>
          <w:sz w:val="24"/>
          <w:szCs w:val="28"/>
          <w:highlight w:val="none"/>
        </w:rPr>
        <w:t>有限公司</w:t>
      </w:r>
    </w:p>
    <w:p>
      <w:pPr>
        <w:jc w:val="right"/>
        <w:rPr>
          <w:rFonts w:hint="eastAsia" w:ascii="黑体" w:hAnsi="黑体" w:eastAsia="黑体" w:cs="黑体"/>
          <w:b/>
          <w:color w:val="auto"/>
          <w:spacing w:val="40"/>
          <w:sz w:val="32"/>
          <w:highlight w:val="none"/>
        </w:rPr>
      </w:pPr>
      <w:r>
        <w:rPr>
          <w:rFonts w:hint="eastAsia" w:ascii="黑体" w:hAnsi="黑体" w:eastAsia="黑体" w:cs="黑体"/>
          <w:color w:val="auto"/>
          <w:sz w:val="24"/>
          <w:szCs w:val="28"/>
          <w:highlight w:val="none"/>
        </w:rPr>
        <w:t>20</w:t>
      </w:r>
      <w:r>
        <w:rPr>
          <w:rFonts w:hint="eastAsia" w:ascii="黑体" w:hAnsi="黑体" w:eastAsia="黑体" w:cs="黑体"/>
          <w:color w:val="auto"/>
          <w:sz w:val="24"/>
          <w:szCs w:val="28"/>
          <w:highlight w:val="none"/>
          <w:lang w:val="en-US" w:eastAsia="zh-CN"/>
        </w:rPr>
        <w:t>23</w:t>
      </w:r>
      <w:r>
        <w:rPr>
          <w:rFonts w:hint="eastAsia" w:ascii="黑体" w:hAnsi="黑体" w:eastAsia="黑体" w:cs="黑体"/>
          <w:color w:val="auto"/>
          <w:sz w:val="24"/>
          <w:szCs w:val="28"/>
          <w:highlight w:val="none"/>
        </w:rPr>
        <w:t>年</w:t>
      </w:r>
      <w:r>
        <w:rPr>
          <w:rFonts w:hint="eastAsia" w:ascii="黑体" w:hAnsi="黑体" w:eastAsia="黑体" w:cs="黑体"/>
          <w:color w:val="auto"/>
          <w:sz w:val="24"/>
          <w:szCs w:val="28"/>
          <w:highlight w:val="none"/>
          <w:lang w:val="en-US" w:eastAsia="zh-CN"/>
        </w:rPr>
        <w:t>5</w:t>
      </w:r>
      <w:r>
        <w:rPr>
          <w:rFonts w:hint="eastAsia" w:ascii="黑体" w:hAnsi="黑体" w:eastAsia="黑体" w:cs="黑体"/>
          <w:color w:val="auto"/>
          <w:sz w:val="24"/>
          <w:szCs w:val="28"/>
          <w:highlight w:val="none"/>
        </w:rPr>
        <w:t>月</w:t>
      </w:r>
      <w:r>
        <w:rPr>
          <w:rFonts w:hint="eastAsia" w:ascii="黑体" w:hAnsi="黑体" w:eastAsia="黑体" w:cs="黑体"/>
          <w:color w:val="auto"/>
          <w:sz w:val="24"/>
          <w:szCs w:val="28"/>
          <w:highlight w:val="none"/>
          <w:lang w:val="en-US" w:eastAsia="zh-CN"/>
        </w:rPr>
        <w:t xml:space="preserve">5日    </w:t>
      </w:r>
    </w:p>
    <w:p>
      <w:pPr>
        <w:rPr>
          <w:rFonts w:hint="eastAsia" w:ascii="黑体" w:hAnsi="黑体" w:eastAsia="黑体" w:cs="黑体"/>
          <w:b/>
          <w:color w:val="auto"/>
          <w:spacing w:val="40"/>
          <w:sz w:val="32"/>
          <w:highlight w:val="none"/>
        </w:rPr>
      </w:pPr>
      <w:r>
        <w:rPr>
          <w:rFonts w:hint="eastAsia" w:ascii="黑体" w:hAnsi="黑体" w:eastAsia="黑体" w:cs="黑体"/>
          <w:b/>
          <w:color w:val="auto"/>
          <w:spacing w:val="40"/>
          <w:sz w:val="32"/>
          <w:highlight w:val="none"/>
        </w:rPr>
        <w:br w:type="page"/>
      </w:r>
    </w:p>
    <w:p>
      <w:pPr>
        <w:spacing w:line="360" w:lineRule="auto"/>
        <w:jc w:val="center"/>
        <w:rPr>
          <w:rFonts w:hint="eastAsia" w:ascii="黑体" w:hAnsi="黑体" w:eastAsia="黑体" w:cs="黑体"/>
          <w:b/>
          <w:color w:val="auto"/>
          <w:spacing w:val="40"/>
          <w:sz w:val="32"/>
          <w:highlight w:val="none"/>
        </w:rPr>
      </w:pPr>
      <w:r>
        <w:rPr>
          <w:rFonts w:hint="eastAsia" w:ascii="黑体" w:hAnsi="黑体" w:eastAsia="黑体" w:cs="黑体"/>
          <w:b/>
          <w:color w:val="auto"/>
          <w:spacing w:val="40"/>
          <w:sz w:val="32"/>
          <w:highlight w:val="none"/>
        </w:rPr>
        <w:t>二、投标须知前附表</w:t>
      </w:r>
    </w:p>
    <w:tbl>
      <w:tblPr>
        <w:tblStyle w:val="36"/>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29"/>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项号</w:t>
            </w:r>
          </w:p>
        </w:tc>
        <w:tc>
          <w:tcPr>
            <w:tcW w:w="182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内   容</w:t>
            </w:r>
          </w:p>
        </w:tc>
        <w:tc>
          <w:tcPr>
            <w:tcW w:w="6975" w:type="dxa"/>
            <w:vAlign w:val="center"/>
          </w:tcPr>
          <w:p>
            <w:pPr>
              <w:tabs>
                <w:tab w:val="left" w:pos="1180"/>
              </w:tabs>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工程名称</w:t>
            </w:r>
          </w:p>
        </w:tc>
        <w:tc>
          <w:tcPr>
            <w:tcW w:w="6975" w:type="dxa"/>
            <w:vAlign w:val="center"/>
          </w:tcPr>
          <w:p>
            <w:pPr>
              <w:jc w:val="left"/>
              <w:rPr>
                <w:rFonts w:hint="eastAsia" w:ascii="黑体" w:hAnsi="黑体" w:eastAsia="黑体" w:cs="黑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 xml:space="preserve"> </w:t>
            </w:r>
            <w:r>
              <w:rPr>
                <w:rFonts w:hint="eastAsia" w:ascii="黑体" w:hAnsi="黑体" w:eastAsia="黑体" w:cs="黑体"/>
                <w:sz w:val="24"/>
                <w:szCs w:val="24"/>
                <w:u w:val="single"/>
                <w:lang w:val="en-US" w:eastAsia="zh-CN"/>
              </w:rPr>
              <w:t>河北省科学技术厅办公业务用房改造修缮项目</w:t>
            </w:r>
            <w:r>
              <w:rPr>
                <w:rFonts w:hint="eastAsia" w:ascii="宋体" w:hAnsi="宋体" w:cs="宋体"/>
                <w:color w:val="auto"/>
                <w:szCs w:val="21"/>
                <w:highlight w:val="none"/>
                <w:u w:val="single"/>
                <w:lang w:val="en-US" w:eastAsia="zh-CN"/>
              </w:rPr>
              <w:t xml:space="preserve">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工程地点</w:t>
            </w:r>
          </w:p>
        </w:tc>
        <w:tc>
          <w:tcPr>
            <w:tcW w:w="6975" w:type="dxa"/>
            <w:vAlign w:val="center"/>
          </w:tcPr>
          <w:p>
            <w:pPr>
              <w:jc w:val="left"/>
              <w:rPr>
                <w:rFonts w:hint="eastAsia" w:ascii="黑体" w:hAnsi="黑体" w:eastAsia="黑体" w:cs="黑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 xml:space="preserve"> </w:t>
            </w:r>
            <w:r>
              <w:rPr>
                <w:rFonts w:hint="eastAsia" w:ascii="黑体" w:hAnsi="黑体" w:eastAsia="黑体" w:cs="黑体"/>
                <w:b w:val="0"/>
                <w:bCs w:val="0"/>
                <w:color w:val="auto"/>
                <w:kern w:val="0"/>
                <w:sz w:val="24"/>
                <w:szCs w:val="24"/>
                <w:highlight w:val="none"/>
                <w:u w:val="single"/>
                <w:lang w:val="en-US" w:eastAsia="zh-CN" w:bidi="ar"/>
              </w:rPr>
              <w:t>石家庄市裕华区东风路 159 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工程概况</w:t>
            </w:r>
          </w:p>
        </w:tc>
        <w:tc>
          <w:tcPr>
            <w:tcW w:w="6975" w:type="dxa"/>
            <w:vAlign w:val="center"/>
          </w:tcPr>
          <w:p>
            <w:pPr>
              <w:jc w:val="left"/>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建筑面积10437㎡，地下一层，地上十二层，地下一层层高为4.2m，一层层高为4.8m，顶层层高为5.1m,其余层层高为3.5m。建筑高度为49.650m。</w:t>
            </w:r>
          </w:p>
          <w:p>
            <w:pPr>
              <w:jc w:val="left"/>
              <w:rPr>
                <w:rFonts w:hint="default"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建设单位：河北省科学技术厅</w:t>
            </w:r>
          </w:p>
          <w:p>
            <w:pPr>
              <w:jc w:val="left"/>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总包单位：河北建工集团建筑装饰工程有限公司</w:t>
            </w:r>
          </w:p>
          <w:p>
            <w:pPr>
              <w:jc w:val="left"/>
              <w:rPr>
                <w:rFonts w:hint="default"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设计单位：北方工程设计研究院有限公司</w:t>
            </w:r>
          </w:p>
          <w:p>
            <w:pPr>
              <w:jc w:val="left"/>
              <w:rPr>
                <w:rFonts w:hint="eastAsia"/>
                <w:lang w:val="en-US" w:eastAsia="zh-CN"/>
              </w:rPr>
            </w:pPr>
            <w:r>
              <w:rPr>
                <w:rFonts w:hint="eastAsia" w:ascii="黑体" w:hAnsi="黑体" w:eastAsia="黑体" w:cs="黑体"/>
                <w:b w:val="0"/>
                <w:bCs w:val="0"/>
                <w:color w:val="auto"/>
                <w:kern w:val="0"/>
                <w:sz w:val="24"/>
                <w:szCs w:val="24"/>
                <w:highlight w:val="none"/>
                <w:u w:val="single"/>
                <w:lang w:val="en-US" w:eastAsia="zh-CN" w:bidi="ar"/>
              </w:rPr>
              <w:t>监理单位：河北工程建设监理有限公司</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承包方式</w:t>
            </w:r>
          </w:p>
        </w:tc>
        <w:tc>
          <w:tcPr>
            <w:tcW w:w="6975" w:type="dxa"/>
            <w:vAlign w:val="center"/>
          </w:tcPr>
          <w:p>
            <w:pPr>
              <w:jc w:val="left"/>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包工包料（招标人不提供任何材料</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lang w:val="en-US" w:eastAsia="zh-CN"/>
              </w:rPr>
              <w:t>辅材、耗材、机械及工具</w:t>
            </w:r>
            <w:r>
              <w:rPr>
                <w:rFonts w:hint="eastAsia" w:ascii="黑体" w:hAnsi="黑体" w:eastAsia="黑体" w:cs="黑体"/>
                <w:color w:val="auto"/>
                <w:sz w:val="21"/>
                <w:szCs w:val="21"/>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质量标准</w:t>
            </w:r>
          </w:p>
        </w:tc>
        <w:tc>
          <w:tcPr>
            <w:tcW w:w="6975" w:type="dxa"/>
            <w:vAlign w:val="center"/>
          </w:tcPr>
          <w:p>
            <w:pPr>
              <w:widowControl/>
              <w:jc w:val="left"/>
              <w:rPr>
                <w:rFonts w:hint="eastAsia" w:ascii="黑体" w:hAnsi="黑体" w:eastAsia="黑体" w:cs="黑体"/>
                <w:color w:val="auto"/>
                <w:kern w:val="0"/>
                <w:sz w:val="21"/>
                <w:szCs w:val="21"/>
                <w:highlight w:val="none"/>
                <w:lang w:val="en-US" w:eastAsia="zh-CN" w:bidi="ar"/>
              </w:rPr>
            </w:pPr>
            <w:r>
              <w:rPr>
                <w:rFonts w:hint="eastAsia" w:ascii="黑体" w:hAnsi="黑体" w:eastAsia="黑体" w:cs="黑体"/>
                <w:color w:val="auto"/>
                <w:kern w:val="0"/>
                <w:sz w:val="21"/>
                <w:szCs w:val="21"/>
                <w:highlight w:val="none"/>
                <w:lang w:val="en-US" w:eastAsia="zh-CN" w:bidi="ar"/>
              </w:rPr>
              <w:t>合格</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1829" w:type="dxa"/>
            <w:vAlign w:val="center"/>
          </w:tcPr>
          <w:p>
            <w:pP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文明施工标准</w:t>
            </w:r>
          </w:p>
        </w:tc>
        <w:tc>
          <w:tcPr>
            <w:tcW w:w="6975" w:type="dxa"/>
            <w:vAlign w:val="center"/>
          </w:tcPr>
          <w:p>
            <w:pPr>
              <w:widowControl/>
              <w:spacing w:line="480" w:lineRule="exact"/>
              <w:jc w:val="left"/>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文明示范工地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招标范围</w:t>
            </w:r>
          </w:p>
        </w:tc>
        <w:tc>
          <w:tcPr>
            <w:tcW w:w="6975" w:type="dxa"/>
            <w:vAlign w:val="center"/>
          </w:tcPr>
          <w:p>
            <w:pPr>
              <w:ind w:firstLine="420" w:firstLineChars="200"/>
              <w:jc w:val="left"/>
              <w:rPr>
                <w:rFonts w:hint="eastAsia"/>
                <w:sz w:val="21"/>
                <w:szCs w:val="21"/>
                <w:highlight w:val="none"/>
              </w:rPr>
            </w:pPr>
            <w:r>
              <w:rPr>
                <w:rFonts w:hint="eastAsia"/>
                <w:highlight w:val="none"/>
                <w:lang w:val="en-US" w:eastAsia="zh-CN"/>
              </w:rPr>
              <w:t>消防水、消防弱电施工</w:t>
            </w:r>
            <w:r>
              <w:rPr>
                <w:rFonts w:hint="eastAsia"/>
                <w:highlight w:val="none"/>
              </w:rPr>
              <w:t>图纸</w:t>
            </w:r>
            <w:r>
              <w:rPr>
                <w:rFonts w:hint="eastAsia"/>
                <w:highlight w:val="none"/>
                <w:lang w:val="en-US" w:eastAsia="zh-CN"/>
              </w:rPr>
              <w:t>与初步设计图纸</w:t>
            </w:r>
            <w:r>
              <w:rPr>
                <w:rFonts w:hint="eastAsia"/>
                <w:highlight w:val="none"/>
              </w:rPr>
              <w:t>上与</w:t>
            </w:r>
            <w:r>
              <w:rPr>
                <w:rFonts w:hint="eastAsia"/>
                <w:highlight w:val="none"/>
                <w:lang w:eastAsia="zh-CN"/>
              </w:rPr>
              <w:t>消防工程</w:t>
            </w:r>
            <w:r>
              <w:rPr>
                <w:rFonts w:hint="eastAsia"/>
                <w:highlight w:val="none"/>
              </w:rPr>
              <w:t>有关施工的内容，具体包括但不限于（</w:t>
            </w:r>
            <w:r>
              <w:rPr>
                <w:rFonts w:hint="eastAsia" w:ascii="宋体" w:hAnsi="宋体" w:cs="宋体"/>
                <w:bCs/>
                <w:kern w:val="0"/>
                <w:sz w:val="21"/>
                <w:szCs w:val="21"/>
                <w:highlight w:val="none"/>
                <w:u w:val="single"/>
                <w:shd w:val="clear" w:color="auto" w:fill="FFFFFF"/>
                <w:lang w:bidi="ar"/>
              </w:rPr>
              <w:t>含变更</w:t>
            </w:r>
            <w:r>
              <w:rPr>
                <w:rFonts w:hint="eastAsia" w:ascii="宋体" w:hAnsi="宋体" w:cs="宋体"/>
                <w:bCs/>
                <w:kern w:val="0"/>
                <w:sz w:val="21"/>
                <w:szCs w:val="21"/>
                <w:highlight w:val="none"/>
                <w:u w:val="single"/>
                <w:shd w:val="clear" w:color="auto" w:fill="FFFFFF"/>
                <w:lang w:eastAsia="zh-CN" w:bidi="ar"/>
              </w:rPr>
              <w:t>、</w:t>
            </w:r>
            <w:r>
              <w:rPr>
                <w:rFonts w:hint="eastAsia" w:ascii="宋体" w:hAnsi="宋体" w:cs="宋体"/>
                <w:bCs/>
                <w:kern w:val="0"/>
                <w:sz w:val="21"/>
                <w:szCs w:val="21"/>
                <w:highlight w:val="none"/>
                <w:u w:val="single"/>
                <w:shd w:val="clear" w:color="auto" w:fill="FFFFFF"/>
                <w:lang w:val="en-US" w:eastAsia="zh-CN" w:bidi="ar"/>
              </w:rPr>
              <w:t>洽商、签证等</w:t>
            </w:r>
            <w:r>
              <w:rPr>
                <w:rFonts w:hint="eastAsia"/>
                <w:sz w:val="21"/>
                <w:szCs w:val="21"/>
                <w:highlight w:val="none"/>
              </w:rPr>
              <w:t>）：</w:t>
            </w:r>
          </w:p>
          <w:p>
            <w:pPr>
              <w:ind w:firstLine="420" w:firstLineChars="200"/>
              <w:jc w:val="left"/>
              <w:rPr>
                <w:rFonts w:hint="eastAsia"/>
                <w:highlight w:val="none"/>
              </w:rPr>
            </w:pPr>
            <w:r>
              <w:rPr>
                <w:rFonts w:hint="eastAsia"/>
                <w:highlight w:val="none"/>
              </w:rPr>
              <w:t>(1)全部</w:t>
            </w:r>
            <w:r>
              <w:rPr>
                <w:rFonts w:hint="eastAsia"/>
                <w:highlight w:val="none"/>
                <w:lang w:val="en-US" w:eastAsia="zh-CN"/>
              </w:rPr>
              <w:t>消防水、消防弱电施工范围内工程施工</w:t>
            </w:r>
            <w:r>
              <w:rPr>
                <w:rFonts w:hint="eastAsia"/>
                <w:highlight w:val="none"/>
              </w:rPr>
              <w:t>.</w:t>
            </w:r>
          </w:p>
          <w:p>
            <w:pPr>
              <w:ind w:firstLine="420" w:firstLineChars="200"/>
              <w:jc w:val="left"/>
              <w:rPr>
                <w:rFonts w:hint="eastAsia"/>
                <w:highlight w:val="none"/>
              </w:rPr>
            </w:pPr>
            <w:r>
              <w:rPr>
                <w:rFonts w:hint="eastAsia"/>
                <w:highlight w:val="none"/>
              </w:rPr>
              <w:t>(2)其余符合图纸设计要求的内容</w:t>
            </w:r>
          </w:p>
          <w:p>
            <w:pPr>
              <w:ind w:firstLine="420" w:firstLineChars="200"/>
              <w:jc w:val="left"/>
              <w:rPr>
                <w:rFonts w:hint="eastAsia"/>
                <w:highlight w:val="none"/>
                <w:lang w:eastAsia="zh-CN"/>
              </w:rPr>
            </w:pPr>
            <w:r>
              <w:rPr>
                <w:rFonts w:hint="eastAsia"/>
                <w:highlight w:val="none"/>
              </w:rPr>
              <w:t>(3)</w:t>
            </w:r>
            <w:r>
              <w:rPr>
                <w:rFonts w:hint="eastAsia"/>
                <w:highlight w:val="none"/>
                <w:lang w:eastAsia="zh-CN"/>
              </w:rPr>
              <w:t>投标须知内工程范围</w:t>
            </w:r>
          </w:p>
          <w:p>
            <w:pPr>
              <w:ind w:firstLine="420" w:firstLineChars="200"/>
              <w:jc w:val="left"/>
              <w:rPr>
                <w:rFonts w:hint="eastAsia"/>
                <w:highlight w:val="none"/>
              </w:rPr>
            </w:pPr>
            <w:r>
              <w:rPr>
                <w:rFonts w:hint="eastAsia"/>
                <w:highlight w:val="none"/>
              </w:rPr>
              <w:t>(4)具体部位详见</w:t>
            </w:r>
            <w:r>
              <w:rPr>
                <w:rFonts w:hint="eastAsia"/>
                <w:highlight w:val="none"/>
                <w:lang w:val="en-US" w:eastAsia="zh-CN"/>
              </w:rPr>
              <w:t>消防水、消防弱电</w:t>
            </w:r>
            <w:r>
              <w:rPr>
                <w:rFonts w:hint="eastAsia"/>
                <w:highlight w:val="none"/>
                <w:lang w:eastAsia="zh-CN"/>
              </w:rPr>
              <w:t>工程</w:t>
            </w:r>
            <w:r>
              <w:rPr>
                <w:rFonts w:hint="eastAsia"/>
                <w:highlight w:val="none"/>
                <w:lang w:val="en-US" w:eastAsia="zh-CN"/>
              </w:rPr>
              <w:t>施工图纸</w:t>
            </w:r>
            <w:r>
              <w:rPr>
                <w:rFonts w:hint="eastAsia"/>
                <w:highlight w:val="none"/>
              </w:rPr>
              <w:t>。</w:t>
            </w:r>
          </w:p>
          <w:p>
            <w:pPr>
              <w:pStyle w:val="17"/>
              <w:rPr>
                <w:rFonts w:hint="default" w:eastAsia="黑体"/>
                <w:highlight w:val="none"/>
                <w:lang w:val="en-US" w:eastAsia="zh-CN"/>
              </w:rPr>
            </w:pPr>
            <w:r>
              <w:rPr>
                <w:rFonts w:hint="eastAsia" w:eastAsia="黑体"/>
                <w:highlight w:val="none"/>
                <w:lang w:val="en-US" w:eastAsia="zh-CN"/>
              </w:rPr>
              <w:t xml:space="preserve"> </w:t>
            </w:r>
            <w:r>
              <w:rPr>
                <w:rFonts w:hint="eastAsia" w:eastAsia="黑体"/>
                <w:b/>
                <w:bCs/>
                <w:highlight w:val="none"/>
                <w:lang w:val="en-US" w:eastAsia="zh-CN"/>
              </w:rPr>
              <w:t xml:space="preserve"> </w:t>
            </w:r>
            <w:r>
              <w:rPr>
                <w:rFonts w:hint="eastAsia" w:ascii="Times New Roman" w:hAnsi="Times New Roman" w:eastAsia="宋体" w:cs="Times New Roman"/>
                <w:kern w:val="2"/>
                <w:sz w:val="21"/>
                <w:highlight w:val="none"/>
                <w:lang w:val="en-US" w:eastAsia="zh-CN" w:bidi="ar-SA"/>
              </w:rPr>
              <w:t>（5）</w:t>
            </w:r>
            <w:r>
              <w:rPr>
                <w:rFonts w:hint="eastAsia" w:cs="Times New Roman"/>
                <w:b w:val="0"/>
                <w:bCs w:val="0"/>
                <w:kern w:val="2"/>
                <w:sz w:val="21"/>
                <w:szCs w:val="22"/>
                <w:highlight w:val="none"/>
                <w:lang w:val="en-US" w:eastAsia="zh-CN" w:bidi="ar-SA"/>
              </w:rPr>
              <w:t>协助发包方向建设单位申请工程款，协助发包方过程计量、竣工结算以及办理变更、签证、洽商等工作。</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工期要求</w:t>
            </w:r>
          </w:p>
        </w:tc>
        <w:tc>
          <w:tcPr>
            <w:tcW w:w="6975" w:type="dxa"/>
            <w:vAlign w:val="center"/>
          </w:tcPr>
          <w:p>
            <w:pPr>
              <w:jc w:val="left"/>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总工期</w:t>
            </w:r>
            <w:r>
              <w:rPr>
                <w:rFonts w:hint="eastAsia" w:ascii="黑体" w:hAnsi="黑体" w:eastAsia="黑体" w:cs="黑体"/>
                <w:color w:val="auto"/>
                <w:sz w:val="21"/>
                <w:szCs w:val="21"/>
                <w:highlight w:val="none"/>
                <w:u w:val="single"/>
              </w:rPr>
              <w:t xml:space="preserve"> </w:t>
            </w:r>
            <w:r>
              <w:rPr>
                <w:rFonts w:hint="eastAsia" w:ascii="黑体" w:hAnsi="黑体" w:eastAsia="黑体" w:cs="黑体"/>
                <w:b/>
                <w:bCs/>
                <w:color w:val="0000FF"/>
                <w:sz w:val="21"/>
                <w:szCs w:val="21"/>
                <w:highlight w:val="none"/>
                <w:u w:val="single"/>
              </w:rPr>
              <w:t xml:space="preserve"> </w:t>
            </w:r>
            <w:r>
              <w:rPr>
                <w:rFonts w:hint="eastAsia" w:ascii="黑体" w:hAnsi="黑体" w:eastAsia="黑体" w:cs="黑体"/>
                <w:b/>
                <w:bCs/>
                <w:color w:val="0000FF"/>
                <w:sz w:val="21"/>
                <w:szCs w:val="21"/>
                <w:highlight w:val="none"/>
                <w:u w:val="single"/>
                <w:lang w:val="en-US" w:eastAsia="zh-CN"/>
              </w:rPr>
              <w:t>45</w:t>
            </w:r>
            <w:r>
              <w:rPr>
                <w:rFonts w:hint="eastAsia" w:ascii="黑体" w:hAnsi="黑体" w:eastAsia="黑体" w:cs="黑体"/>
                <w:color w:val="auto"/>
                <w:sz w:val="21"/>
                <w:szCs w:val="21"/>
                <w:highlight w:val="none"/>
                <w:u w:val="single"/>
              </w:rPr>
              <w:t xml:space="preserve"> </w:t>
            </w:r>
            <w:r>
              <w:rPr>
                <w:rFonts w:hint="eastAsia" w:ascii="黑体" w:hAnsi="黑体" w:eastAsia="黑体" w:cs="黑体"/>
                <w:color w:val="auto"/>
                <w:sz w:val="21"/>
                <w:szCs w:val="21"/>
                <w:highlight w:val="none"/>
              </w:rPr>
              <w:t>日历天，重要节点工期必须满足招标人要求，详见合同条款。</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6"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1829" w:type="dxa"/>
            <w:vAlign w:val="center"/>
          </w:tcPr>
          <w:p>
            <w:pPr>
              <w:tabs>
                <w:tab w:val="left" w:pos="568"/>
              </w:tabs>
              <w:jc w:val="center"/>
              <w:rPr>
                <w:rFonts w:hint="eastAsia" w:ascii="黑体" w:hAnsi="黑体" w:eastAsia="黑体" w:cs="黑体"/>
                <w:color w:val="auto"/>
                <w:spacing w:val="-8"/>
                <w:sz w:val="24"/>
                <w:szCs w:val="24"/>
                <w:highlight w:val="none"/>
              </w:rPr>
            </w:pPr>
            <w:r>
              <w:rPr>
                <w:rFonts w:hint="eastAsia" w:ascii="黑体" w:hAnsi="黑体" w:eastAsia="黑体" w:cs="黑体"/>
                <w:color w:val="auto"/>
                <w:sz w:val="24"/>
                <w:szCs w:val="24"/>
                <w:highlight w:val="none"/>
              </w:rPr>
              <w:t>付款方式</w:t>
            </w:r>
          </w:p>
        </w:tc>
        <w:tc>
          <w:tcPr>
            <w:tcW w:w="6975" w:type="dxa"/>
            <w:vAlign w:val="center"/>
          </w:tcPr>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付款方式：</w:t>
            </w:r>
          </w:p>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1.招标人向中标人支付工程款（进度款）的时间和方式：预付款无，按月进度款</w:t>
            </w:r>
            <w:r>
              <w:rPr>
                <w:rFonts w:hint="eastAsia" w:ascii="黑体" w:hAnsi="黑体" w:eastAsia="黑体" w:cs="黑体"/>
                <w:color w:val="000000" w:themeColor="text1"/>
                <w:highlight w:val="none"/>
                <w:lang w:val="en-US" w:eastAsia="zh-CN"/>
                <w14:textFill>
                  <w14:solidFill>
                    <w14:schemeClr w14:val="tx1"/>
                  </w14:solidFill>
                </w14:textFill>
              </w:rPr>
              <w:t>80</w:t>
            </w:r>
            <w:r>
              <w:rPr>
                <w:rFonts w:hint="eastAsia" w:ascii="黑体" w:hAnsi="黑体" w:eastAsia="黑体" w:cs="黑体"/>
                <w:color w:val="000000" w:themeColor="text1"/>
                <w:highlight w:val="none"/>
                <w14:textFill>
                  <w14:solidFill>
                    <w14:schemeClr w14:val="tx1"/>
                  </w14:solidFill>
                </w14:textFill>
              </w:rPr>
              <w:t>%支付。</w:t>
            </w:r>
          </w:p>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2.竣工结算：中标人将竣工结算资料报至招标人，招标人审核完成后，待整体工程竣工验收合格满3个月后</w:t>
            </w:r>
            <w:r>
              <w:rPr>
                <w:rFonts w:hint="eastAsia" w:ascii="黑体" w:hAnsi="黑体" w:eastAsia="黑体" w:cs="黑体"/>
                <w:color w:val="000000" w:themeColor="text1"/>
                <w:highlight w:val="none"/>
                <w:lang w:eastAsia="zh-CN"/>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招标方与业主结算完毕后，</w:t>
            </w:r>
            <w:r>
              <w:rPr>
                <w:rFonts w:hint="eastAsia" w:ascii="黑体" w:hAnsi="黑体" w:eastAsia="黑体" w:cs="黑体"/>
                <w:color w:val="000000" w:themeColor="text1"/>
                <w:highlight w:val="none"/>
                <w14:textFill>
                  <w14:solidFill>
                    <w14:schemeClr w14:val="tx1"/>
                  </w14:solidFill>
                </w14:textFill>
              </w:rPr>
              <w:t>60天内招标人付至</w:t>
            </w:r>
            <w:r>
              <w:rPr>
                <w:rFonts w:hint="eastAsia" w:ascii="黑体" w:hAnsi="黑体" w:eastAsia="黑体" w:cs="黑体"/>
                <w:color w:val="000000" w:themeColor="text1"/>
                <w:highlight w:val="none"/>
                <w:lang w:eastAsia="zh-CN"/>
                <w14:textFill>
                  <w14:solidFill>
                    <w14:schemeClr w14:val="tx1"/>
                  </w14:solidFill>
                </w14:textFill>
              </w:rPr>
              <w:t>消防工程</w:t>
            </w:r>
            <w:r>
              <w:rPr>
                <w:rFonts w:hint="eastAsia" w:ascii="黑体" w:hAnsi="黑体" w:eastAsia="黑体" w:cs="黑体"/>
                <w:color w:val="000000" w:themeColor="text1"/>
                <w:highlight w:val="none"/>
                <w:lang w:val="en-US" w:eastAsia="zh-CN"/>
                <w14:textFill>
                  <w14:solidFill>
                    <w14:schemeClr w14:val="tx1"/>
                  </w14:solidFill>
                </w14:textFill>
              </w:rPr>
              <w:t>分包</w:t>
            </w:r>
            <w:r>
              <w:rPr>
                <w:rFonts w:hint="eastAsia" w:ascii="黑体" w:hAnsi="黑体" w:eastAsia="黑体" w:cs="黑体"/>
                <w:color w:val="000000" w:themeColor="text1"/>
                <w:highlight w:val="none"/>
                <w14:textFill>
                  <w14:solidFill>
                    <w14:schemeClr w14:val="tx1"/>
                  </w14:solidFill>
                </w14:textFill>
              </w:rPr>
              <w:t>结算总价款的9</w:t>
            </w:r>
            <w:r>
              <w:rPr>
                <w:rFonts w:hint="eastAsia" w:ascii="黑体" w:hAnsi="黑体" w:eastAsia="黑体" w:cs="黑体"/>
                <w:color w:val="000000" w:themeColor="text1"/>
                <w:highlight w:val="none"/>
                <w:lang w:val="en-US" w:eastAsia="zh-CN"/>
                <w14:textFill>
                  <w14:solidFill>
                    <w14:schemeClr w14:val="tx1"/>
                  </w14:solidFill>
                </w14:textFill>
              </w:rPr>
              <w:t>7</w:t>
            </w:r>
            <w:r>
              <w:rPr>
                <w:rFonts w:hint="eastAsia" w:ascii="黑体" w:hAnsi="黑体" w:eastAsia="黑体" w:cs="黑体"/>
                <w:color w:val="000000" w:themeColor="text1"/>
                <w:highlight w:val="none"/>
                <w14:textFill>
                  <w14:solidFill>
                    <w14:schemeClr w14:val="tx1"/>
                  </w14:solidFill>
                </w14:textFill>
              </w:rPr>
              <w:t>%，留</w:t>
            </w:r>
            <w:r>
              <w:rPr>
                <w:rFonts w:hint="eastAsia" w:ascii="黑体" w:hAnsi="黑体" w:eastAsia="黑体" w:cs="黑体"/>
                <w:color w:val="000000" w:themeColor="text1"/>
                <w:highlight w:val="none"/>
                <w:lang w:val="en-US" w:eastAsia="zh-CN"/>
                <w14:textFill>
                  <w14:solidFill>
                    <w14:schemeClr w14:val="tx1"/>
                  </w14:solidFill>
                </w14:textFill>
              </w:rPr>
              <w:t>3</w:t>
            </w:r>
            <w:r>
              <w:rPr>
                <w:rFonts w:hint="eastAsia" w:ascii="黑体" w:hAnsi="黑体" w:eastAsia="黑体" w:cs="黑体"/>
                <w:color w:val="000000" w:themeColor="text1"/>
                <w:highlight w:val="none"/>
                <w14:textFill>
                  <w14:solidFill>
                    <w14:schemeClr w14:val="tx1"/>
                  </w14:solidFill>
                </w14:textFill>
              </w:rPr>
              <w:t>%作为工程质量保证金，待质保期满后（质保期按国家规定执行），一个月内支付全部的质量保证金（无利息）。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bCs/>
                <w:color w:val="FF0000"/>
                <w:highlight w:val="none"/>
                <w:lang w:val="en-US"/>
              </w:rPr>
            </w:pPr>
            <w:r>
              <w:rPr>
                <w:rFonts w:hint="eastAsia" w:ascii="黑体" w:hAnsi="黑体" w:eastAsia="黑体" w:cs="黑体"/>
                <w:color w:val="000000" w:themeColor="text1"/>
                <w:highlight w:val="none"/>
                <w14:textFill>
                  <w14:solidFill>
                    <w14:schemeClr w14:val="tx1"/>
                  </w14:solidFill>
                </w14:textFill>
              </w:rPr>
              <w:t>3.</w:t>
            </w:r>
            <w:r>
              <w:rPr>
                <w:rFonts w:hint="eastAsia" w:ascii="黑体" w:hAnsi="黑体" w:eastAsia="黑体" w:cs="黑体"/>
                <w:color w:val="000000" w:themeColor="text1"/>
                <w:sz w:val="21"/>
                <w:szCs w:val="21"/>
                <w:highlight w:val="none"/>
                <w:lang w:val="en-US" w:eastAsia="zh-CN"/>
                <w14:textFill>
                  <w14:solidFill>
                    <w14:schemeClr w14:val="tx1"/>
                  </w14:solidFill>
                </w14:textFill>
              </w:rPr>
              <w:t>最终分包结算价=</w:t>
            </w:r>
            <w:r>
              <w:rPr>
                <w:rFonts w:hint="eastAsia" w:ascii="Calibri" w:hAnsi="Calibri" w:cs="Calibri"/>
                <w:b/>
                <w:bCs/>
                <w:sz w:val="21"/>
                <w:szCs w:val="21"/>
                <w:highlight w:val="none"/>
                <w:lang w:val="en-US" w:eastAsia="zh-CN"/>
              </w:rPr>
              <w:t>投标方中标价+签证变更价格</w:t>
            </w:r>
            <w:r>
              <w:rPr>
                <w:rFonts w:hint="default" w:ascii="Calibri" w:hAnsi="Calibri" w:eastAsia="宋体" w:cs="Calibri"/>
                <w:b/>
                <w:bCs/>
                <w:sz w:val="21"/>
                <w:szCs w:val="21"/>
                <w:highlight w:val="none"/>
                <w:lang w:val="en-US" w:eastAsia="zh-CN"/>
              </w:rPr>
              <w:t>-施工水电费1%-其他扣、罚款，施工期间若有增加项（含签证、洽商、变更等），需</w:t>
            </w:r>
            <w:r>
              <w:rPr>
                <w:rFonts w:hint="eastAsia" w:ascii="Calibri" w:hAnsi="Calibri" w:eastAsia="宋体" w:cs="Calibri"/>
                <w:b/>
                <w:bCs/>
                <w:sz w:val="21"/>
                <w:szCs w:val="21"/>
                <w:highlight w:val="none"/>
                <w:lang w:val="en-US" w:eastAsia="zh-CN"/>
              </w:rPr>
              <w:t>经建设单位</w:t>
            </w:r>
            <w:r>
              <w:rPr>
                <w:rFonts w:hint="eastAsia" w:ascii="Calibri" w:hAnsi="Calibri" w:cs="Calibri"/>
                <w:b/>
                <w:bCs/>
                <w:sz w:val="21"/>
                <w:szCs w:val="21"/>
                <w:highlight w:val="none"/>
                <w:lang w:val="en-US" w:eastAsia="zh-CN"/>
              </w:rPr>
              <w:t>及甲方</w:t>
            </w:r>
            <w:r>
              <w:rPr>
                <w:rFonts w:hint="default" w:ascii="Calibri" w:hAnsi="Calibri" w:eastAsia="宋体" w:cs="Calibri"/>
                <w:b/>
                <w:bCs/>
                <w:sz w:val="21"/>
                <w:szCs w:val="21"/>
                <w:highlight w:val="none"/>
                <w:lang w:val="en-US" w:eastAsia="zh-CN"/>
              </w:rPr>
              <w:t>认可及签字盖章，方可追加相关费用。</w:t>
            </w:r>
            <w:r>
              <w:rPr>
                <w:rFonts w:hint="default" w:ascii="Calibri" w:hAnsi="Calibri" w:eastAsia="宋体" w:cs="Calibri"/>
                <w:b/>
                <w:bCs/>
                <w:color w:val="FF0000"/>
                <w:sz w:val="21"/>
                <w:szCs w:val="21"/>
                <w:highlight w:val="none"/>
                <w:lang w:val="en-US" w:eastAsia="zh-CN"/>
              </w:rPr>
              <w:t>（签证、洽商、变更等</w:t>
            </w:r>
            <w:r>
              <w:rPr>
                <w:rFonts w:hint="eastAsia" w:ascii="Calibri" w:hAnsi="Calibri" w:cs="Calibri"/>
                <w:b/>
                <w:bCs/>
                <w:color w:val="FF0000"/>
                <w:sz w:val="21"/>
                <w:szCs w:val="21"/>
                <w:highlight w:val="none"/>
                <w:lang w:val="en-US" w:eastAsia="zh-CN"/>
              </w:rPr>
              <w:t>投标方仅计取工程直接费（人工费+材料费+机械费）</w:t>
            </w:r>
            <w:r>
              <w:rPr>
                <w:rFonts w:hint="default" w:ascii="Calibri" w:hAnsi="Calibri" w:eastAsia="宋体" w:cs="Calibri"/>
                <w:b/>
                <w:bCs/>
                <w:color w:val="FF0000"/>
                <w:sz w:val="21"/>
                <w:szCs w:val="21"/>
                <w:highlight w:val="none"/>
                <w:lang w:val="en-US" w:eastAsia="zh-CN"/>
              </w:rPr>
              <w:t>）</w:t>
            </w:r>
          </w:p>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auto"/>
                <w:highlight w:val="none"/>
              </w:rPr>
              <w:t>4.如到上述付款节点时业主尚未支付招标人工程款，投标人应与招标人共同向业主主张应付款项，但投标人不得向招标人主张应付款项及违约责任。</w:t>
            </w:r>
          </w:p>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5.投标人必须向招标人出具增值税专用发票（税率</w:t>
            </w:r>
            <w:r>
              <w:rPr>
                <w:rFonts w:hint="eastAsia" w:ascii="黑体" w:hAnsi="黑体" w:eastAsia="黑体" w:cs="黑体"/>
                <w:color w:val="000000" w:themeColor="text1"/>
                <w:highlight w:val="none"/>
                <w:lang w:val="en-US" w:eastAsia="zh-CN"/>
                <w14:textFill>
                  <w14:solidFill>
                    <w14:schemeClr w14:val="tx1"/>
                  </w14:solidFill>
                </w14:textFill>
              </w:rPr>
              <w:t>9</w:t>
            </w:r>
            <w:r>
              <w:rPr>
                <w:rFonts w:hint="eastAsia" w:ascii="黑体" w:hAnsi="黑体" w:eastAsia="黑体" w:cs="黑体"/>
                <w:color w:val="000000" w:themeColor="text1"/>
                <w:highlight w:val="none"/>
                <w14:textFill>
                  <w14:solidFill>
                    <w14:schemeClr w14:val="tx1"/>
                  </w14:solidFill>
                </w14:textFill>
              </w:rPr>
              <w:t>%）及收据作为收款凭证。</w:t>
            </w:r>
          </w:p>
          <w:p>
            <w:pPr>
              <w:spacing w:line="288" w:lineRule="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6.投标人结算必须执行河北建工集团</w:t>
            </w:r>
            <w:r>
              <w:rPr>
                <w:rFonts w:hint="eastAsia" w:ascii="黑体" w:hAnsi="黑体" w:eastAsia="黑体" w:cs="黑体"/>
                <w:color w:val="000000" w:themeColor="text1"/>
                <w:highlight w:val="none"/>
                <w:lang w:val="en-US" w:eastAsia="zh-CN"/>
                <w14:textFill>
                  <w14:solidFill>
                    <w14:schemeClr w14:val="tx1"/>
                  </w14:solidFill>
                </w14:textFill>
              </w:rPr>
              <w:t>建筑装饰工程有限公司</w:t>
            </w:r>
            <w:r>
              <w:rPr>
                <w:rFonts w:hint="eastAsia" w:ascii="黑体" w:hAnsi="黑体" w:eastAsia="黑体" w:cs="黑体"/>
                <w:color w:val="000000" w:themeColor="text1"/>
                <w:highlight w:val="none"/>
                <w14:textFill>
                  <w14:solidFill>
                    <w14:schemeClr w14:val="tx1"/>
                  </w14:solidFill>
                </w14:textFill>
              </w:rPr>
              <w:t>百分考核制。</w:t>
            </w:r>
          </w:p>
          <w:p>
            <w:pPr>
              <w:spacing w:line="288" w:lineRule="auto"/>
              <w:rPr>
                <w:rFonts w:hint="default" w:eastAsia="黑体"/>
                <w:color w:val="auto"/>
                <w:highlight w:val="none"/>
                <w:lang w:val="en-US" w:eastAsia="zh-CN"/>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投标人资质</w:t>
            </w:r>
          </w:p>
          <w:p>
            <w:pPr>
              <w:jc w:val="center"/>
              <w:rPr>
                <w:rFonts w:hint="eastAsia" w:ascii="黑体" w:hAnsi="黑体" w:eastAsia="黑体" w:cs="黑体"/>
                <w:color w:val="auto"/>
                <w:spacing w:val="-8"/>
                <w:sz w:val="21"/>
                <w:szCs w:val="21"/>
                <w:highlight w:val="none"/>
              </w:rPr>
            </w:pPr>
            <w:r>
              <w:rPr>
                <w:rFonts w:hint="eastAsia" w:ascii="黑体" w:hAnsi="黑体" w:eastAsia="黑体" w:cs="黑体"/>
                <w:color w:val="auto"/>
                <w:spacing w:val="-8"/>
                <w:sz w:val="21"/>
                <w:szCs w:val="21"/>
                <w:highlight w:val="none"/>
              </w:rPr>
              <w:t>等级要求</w:t>
            </w:r>
          </w:p>
        </w:tc>
        <w:tc>
          <w:tcPr>
            <w:tcW w:w="6975" w:type="dxa"/>
            <w:vAlign w:val="center"/>
          </w:tcPr>
          <w:p>
            <w:pPr>
              <w:jc w:val="left"/>
              <w:rPr>
                <w:rFonts w:hint="eastAsia" w:ascii="黑体" w:hAnsi="黑体" w:eastAsia="黑体" w:cs="黑体"/>
                <w:b w:val="0"/>
                <w:bCs w:val="0"/>
                <w:color w:val="auto"/>
                <w:kern w:val="0"/>
                <w:sz w:val="21"/>
                <w:szCs w:val="21"/>
                <w:highlight w:val="none"/>
                <w:lang w:eastAsia="zh-CN" w:bidi="ar"/>
              </w:rPr>
            </w:pPr>
            <w:r>
              <w:rPr>
                <w:rFonts w:hint="eastAsia" w:ascii="黑体" w:hAnsi="黑体" w:eastAsia="黑体" w:cs="黑体"/>
                <w:b w:val="0"/>
                <w:bCs w:val="0"/>
                <w:color w:val="auto"/>
                <w:kern w:val="0"/>
                <w:sz w:val="21"/>
                <w:szCs w:val="21"/>
                <w:highlight w:val="none"/>
                <w:lang w:eastAsia="zh-CN" w:bidi="ar"/>
              </w:rPr>
              <w:t>（</w:t>
            </w:r>
            <w:r>
              <w:rPr>
                <w:rFonts w:hint="eastAsia" w:ascii="黑体" w:hAnsi="黑体" w:eastAsia="黑体" w:cs="黑体"/>
                <w:b w:val="0"/>
                <w:bCs w:val="0"/>
                <w:color w:val="auto"/>
                <w:kern w:val="0"/>
                <w:sz w:val="21"/>
                <w:szCs w:val="21"/>
                <w:highlight w:val="none"/>
                <w:lang w:val="en-US" w:eastAsia="zh-CN" w:bidi="ar"/>
              </w:rPr>
              <w:t>1）</w:t>
            </w:r>
            <w:r>
              <w:rPr>
                <w:rFonts w:hint="eastAsia" w:ascii="黑体" w:hAnsi="黑体" w:eastAsia="黑体" w:cs="黑体"/>
                <w:b w:val="0"/>
                <w:bCs w:val="0"/>
                <w:color w:val="auto"/>
                <w:kern w:val="0"/>
                <w:sz w:val="21"/>
                <w:szCs w:val="21"/>
                <w:highlight w:val="none"/>
                <w:lang w:bidi="ar"/>
              </w:rPr>
              <w:t>投标人具有独立法人资格，具有一般纳税人资格，能够提供</w:t>
            </w:r>
            <w:r>
              <w:rPr>
                <w:rFonts w:hint="eastAsia" w:ascii="黑体" w:hAnsi="黑体" w:eastAsia="黑体" w:cs="黑体"/>
                <w:b w:val="0"/>
                <w:bCs w:val="0"/>
                <w:color w:val="auto"/>
                <w:kern w:val="0"/>
                <w:sz w:val="21"/>
                <w:szCs w:val="21"/>
                <w:highlight w:val="none"/>
                <w:lang w:val="en-US" w:eastAsia="zh-CN" w:bidi="ar"/>
              </w:rPr>
              <w:t>9</w:t>
            </w:r>
            <w:r>
              <w:rPr>
                <w:rFonts w:hint="eastAsia" w:ascii="黑体" w:hAnsi="黑体" w:eastAsia="黑体" w:cs="黑体"/>
                <w:b w:val="0"/>
                <w:bCs w:val="0"/>
                <w:color w:val="auto"/>
                <w:kern w:val="0"/>
                <w:sz w:val="21"/>
                <w:szCs w:val="21"/>
                <w:highlight w:val="none"/>
                <w:lang w:bidi="ar"/>
              </w:rPr>
              <w:t>%税率增值税专用发票；持有工商管理部门核发的法人营业执照；投标人具有建设行政主管部门颁发的</w:t>
            </w:r>
            <w:r>
              <w:rPr>
                <w:rFonts w:hint="eastAsia" w:ascii="黑体" w:hAnsi="黑体" w:eastAsia="黑体" w:cs="黑体"/>
                <w:b w:val="0"/>
                <w:bCs w:val="0"/>
                <w:color w:val="auto"/>
                <w:kern w:val="0"/>
                <w:sz w:val="21"/>
                <w:szCs w:val="21"/>
                <w:highlight w:val="none"/>
                <w:lang w:eastAsia="zh-CN" w:bidi="ar"/>
              </w:rPr>
              <w:t>消防设施工程专业承包</w:t>
            </w:r>
            <w:r>
              <w:rPr>
                <w:rFonts w:hint="eastAsia" w:ascii="黑体" w:hAnsi="黑体" w:eastAsia="黑体" w:cs="黑体"/>
                <w:b w:val="0"/>
                <w:bCs w:val="0"/>
                <w:color w:val="FF0000"/>
                <w:kern w:val="0"/>
                <w:sz w:val="21"/>
                <w:szCs w:val="21"/>
                <w:highlight w:val="none"/>
                <w:lang w:val="en-US" w:eastAsia="zh-CN" w:bidi="ar"/>
              </w:rPr>
              <w:t>贰</w:t>
            </w:r>
            <w:r>
              <w:rPr>
                <w:rFonts w:hint="eastAsia" w:ascii="黑体" w:hAnsi="黑体" w:eastAsia="黑体" w:cs="黑体"/>
                <w:b w:val="0"/>
                <w:bCs w:val="0"/>
                <w:color w:val="FF0000"/>
                <w:kern w:val="0"/>
                <w:sz w:val="21"/>
                <w:szCs w:val="21"/>
                <w:highlight w:val="none"/>
                <w:lang w:eastAsia="zh-CN" w:bidi="ar"/>
              </w:rPr>
              <w:t>级</w:t>
            </w:r>
            <w:r>
              <w:rPr>
                <w:rFonts w:hint="eastAsia" w:ascii="黑体" w:hAnsi="黑体" w:eastAsia="黑体" w:cs="黑体"/>
                <w:b w:val="0"/>
                <w:bCs w:val="0"/>
                <w:color w:val="auto"/>
                <w:kern w:val="0"/>
                <w:sz w:val="21"/>
                <w:szCs w:val="21"/>
                <w:highlight w:val="none"/>
                <w:lang w:bidi="ar"/>
              </w:rPr>
              <w:t>资质证书；投标人具有有效的安全生产许可证；投标人具有良好的</w:t>
            </w:r>
            <w:r>
              <w:rPr>
                <w:rFonts w:hint="eastAsia" w:ascii="黑体" w:hAnsi="黑体" w:eastAsia="黑体" w:cs="黑体"/>
                <w:b w:val="0"/>
                <w:bCs w:val="0"/>
                <w:color w:val="auto"/>
                <w:kern w:val="0"/>
                <w:sz w:val="21"/>
                <w:szCs w:val="21"/>
                <w:highlight w:val="none"/>
                <w:lang w:eastAsia="zh-CN" w:bidi="ar"/>
              </w:rPr>
              <w:t>。</w:t>
            </w:r>
          </w:p>
          <w:p>
            <w:pPr>
              <w:widowControl/>
              <w:spacing w:line="360" w:lineRule="auto"/>
              <w:jc w:val="left"/>
              <w:rPr>
                <w:rFonts w:hint="default" w:ascii="宋体" w:hAnsi="宋体" w:eastAsia="宋体" w:cs="宋体"/>
                <w:bCs/>
                <w:kern w:val="0"/>
                <w:sz w:val="21"/>
                <w:szCs w:val="21"/>
                <w:highlight w:val="none"/>
                <w:u w:val="single"/>
                <w:shd w:val="clear" w:color="auto" w:fill="FFFFFF"/>
                <w:lang w:val="en-US" w:eastAsia="zh-CN" w:bidi="ar"/>
              </w:rPr>
            </w:pPr>
            <w:r>
              <w:rPr>
                <w:rFonts w:hint="eastAsia" w:ascii="黑体" w:hAnsi="黑体" w:eastAsia="黑体" w:cs="黑体"/>
                <w:b w:val="0"/>
                <w:bCs w:val="0"/>
                <w:color w:val="auto"/>
                <w:kern w:val="0"/>
                <w:sz w:val="21"/>
                <w:szCs w:val="21"/>
                <w:highlight w:val="none"/>
                <w:lang w:eastAsia="zh-CN" w:bidi="ar"/>
              </w:rPr>
              <w:t>（</w:t>
            </w:r>
            <w:r>
              <w:rPr>
                <w:rFonts w:hint="eastAsia" w:ascii="黑体" w:hAnsi="黑体" w:eastAsia="黑体" w:cs="黑体"/>
                <w:b w:val="0"/>
                <w:bCs w:val="0"/>
                <w:color w:val="auto"/>
                <w:kern w:val="0"/>
                <w:sz w:val="21"/>
                <w:szCs w:val="21"/>
                <w:highlight w:val="none"/>
                <w:lang w:val="en-US" w:eastAsia="zh-CN" w:bidi="ar"/>
              </w:rPr>
              <w:t>2）</w:t>
            </w:r>
            <w:r>
              <w:rPr>
                <w:rFonts w:hint="eastAsia" w:ascii="黑体" w:hAnsi="黑体" w:eastAsia="黑体" w:cs="黑体"/>
                <w:b w:val="0"/>
                <w:bCs w:val="0"/>
                <w:color w:val="auto"/>
                <w:kern w:val="0"/>
                <w:sz w:val="21"/>
                <w:szCs w:val="21"/>
                <w:highlight w:val="none"/>
                <w:lang w:bidi="ar"/>
              </w:rPr>
              <w:t>商业信誉，必须具有</w:t>
            </w:r>
            <w:r>
              <w:rPr>
                <w:rFonts w:hint="eastAsia" w:ascii="黑体" w:hAnsi="黑体" w:eastAsia="黑体" w:cs="黑体"/>
                <w:b w:val="0"/>
                <w:bCs w:val="0"/>
                <w:color w:val="auto"/>
                <w:kern w:val="0"/>
                <w:sz w:val="21"/>
                <w:szCs w:val="21"/>
                <w:highlight w:val="none"/>
                <w:lang w:val="en-US" w:eastAsia="zh-CN" w:bidi="ar"/>
              </w:rPr>
              <w:t>机电</w:t>
            </w:r>
            <w:r>
              <w:rPr>
                <w:rFonts w:hint="eastAsia" w:ascii="黑体" w:hAnsi="黑体" w:eastAsia="黑体" w:cs="黑体"/>
                <w:b w:val="0"/>
                <w:bCs w:val="0"/>
                <w:color w:val="auto"/>
                <w:kern w:val="0"/>
                <w:sz w:val="21"/>
                <w:szCs w:val="21"/>
                <w:highlight w:val="none"/>
                <w:lang w:eastAsia="zh-CN" w:bidi="ar"/>
              </w:rPr>
              <w:t>工程</w:t>
            </w:r>
            <w:r>
              <w:rPr>
                <w:rFonts w:hint="eastAsia" w:ascii="黑体" w:hAnsi="黑体" w:eastAsia="黑体" w:cs="黑体"/>
                <w:b w:val="0"/>
                <w:bCs w:val="0"/>
                <w:color w:val="auto"/>
                <w:kern w:val="0"/>
                <w:sz w:val="21"/>
                <w:szCs w:val="21"/>
                <w:highlight w:val="none"/>
                <w:lang w:bidi="ar"/>
              </w:rPr>
              <w:t>专业承包所必需的设备、专业技术能力及资金实力</w:t>
            </w:r>
            <w:r>
              <w:rPr>
                <w:rFonts w:hint="eastAsia" w:ascii="宋体" w:hAnsi="宋体" w:eastAsia="宋体" w:cs="宋体"/>
                <w:bCs/>
                <w:kern w:val="0"/>
                <w:sz w:val="21"/>
                <w:szCs w:val="21"/>
                <w:highlight w:val="none"/>
                <w:u w:val="single"/>
                <w:shd w:val="clear" w:color="auto" w:fill="FFFFFF"/>
                <w:lang w:val="en-US" w:eastAsia="zh-CN" w:bidi="ar"/>
              </w:rPr>
              <w:t>拟派项目经理需为</w:t>
            </w:r>
            <w:r>
              <w:rPr>
                <w:rFonts w:hint="eastAsia" w:ascii="宋体" w:hAnsi="宋体" w:cs="宋体"/>
                <w:bCs/>
                <w:kern w:val="0"/>
                <w:sz w:val="21"/>
                <w:szCs w:val="21"/>
                <w:highlight w:val="none"/>
                <w:u w:val="single"/>
                <w:shd w:val="clear" w:color="auto" w:fill="FFFFFF"/>
                <w:lang w:val="en-US" w:eastAsia="zh-CN" w:bidi="ar"/>
              </w:rPr>
              <w:t>消防</w:t>
            </w:r>
            <w:r>
              <w:rPr>
                <w:rFonts w:hint="eastAsia" w:ascii="宋体" w:hAnsi="宋体" w:eastAsia="宋体" w:cs="宋体"/>
                <w:bCs/>
                <w:kern w:val="0"/>
                <w:sz w:val="21"/>
                <w:szCs w:val="21"/>
                <w:highlight w:val="none"/>
                <w:u w:val="single"/>
                <w:shd w:val="clear" w:color="auto" w:fill="FFFFFF"/>
                <w:lang w:val="en-US" w:eastAsia="zh-CN" w:bidi="ar"/>
              </w:rPr>
              <w:t>工程专业二级及以上注册建造师，有效的安全B本，无在建工程。</w:t>
            </w:r>
          </w:p>
          <w:p>
            <w:pPr>
              <w:widowControl/>
              <w:spacing w:line="360" w:lineRule="auto"/>
              <w:jc w:val="left"/>
              <w:rPr>
                <w:rFonts w:hint="eastAsia" w:ascii="宋体" w:hAnsi="宋体" w:cs="宋体"/>
                <w:bCs/>
                <w:kern w:val="0"/>
                <w:sz w:val="21"/>
                <w:szCs w:val="21"/>
                <w:highlight w:val="none"/>
                <w:u w:val="single"/>
                <w:shd w:val="clear" w:color="auto" w:fill="FFFFFF"/>
                <w:lang w:bidi="ar"/>
              </w:rPr>
            </w:pPr>
            <w:r>
              <w:rPr>
                <w:rFonts w:hint="eastAsia" w:ascii="宋体" w:hAnsi="宋体" w:cs="宋体"/>
                <w:bCs/>
                <w:kern w:val="0"/>
                <w:sz w:val="21"/>
                <w:szCs w:val="21"/>
                <w:highlight w:val="none"/>
                <w:u w:val="single"/>
                <w:shd w:val="clear" w:color="auto" w:fill="FFFFFF"/>
                <w:lang w:bidi="ar"/>
              </w:rPr>
              <w:t>（</w:t>
            </w:r>
            <w:r>
              <w:rPr>
                <w:rFonts w:hint="eastAsia" w:ascii="宋体" w:hAnsi="宋体" w:cs="宋体"/>
                <w:bCs/>
                <w:kern w:val="0"/>
                <w:sz w:val="21"/>
                <w:szCs w:val="21"/>
                <w:highlight w:val="none"/>
                <w:u w:val="single"/>
                <w:shd w:val="clear" w:color="auto" w:fill="FFFFFF"/>
                <w:lang w:val="en-US" w:eastAsia="zh-CN" w:bidi="ar"/>
              </w:rPr>
              <w:t>3</w:t>
            </w:r>
            <w:r>
              <w:rPr>
                <w:rFonts w:hint="eastAsia" w:ascii="宋体" w:hAnsi="宋体" w:cs="宋体"/>
                <w:bCs/>
                <w:kern w:val="0"/>
                <w:sz w:val="21"/>
                <w:szCs w:val="21"/>
                <w:highlight w:val="none"/>
                <w:u w:val="single"/>
                <w:shd w:val="clear" w:color="auto" w:fill="FFFFFF"/>
                <w:lang w:bidi="ar"/>
              </w:rPr>
              <w:t>）提供所用材料的厂家资质、合格证、检测报告等质量证明文件；</w:t>
            </w:r>
          </w:p>
          <w:p>
            <w:pPr>
              <w:jc w:val="left"/>
              <w:rPr>
                <w:rFonts w:hint="eastAsia" w:ascii="黑体" w:hAnsi="黑体" w:eastAsia="黑体" w:cs="黑体"/>
                <w:color w:val="auto"/>
                <w:sz w:val="21"/>
                <w:szCs w:val="21"/>
                <w:highlight w:val="none"/>
              </w:rPr>
            </w:pPr>
            <w:r>
              <w:rPr>
                <w:rFonts w:hint="eastAsia" w:ascii="宋体" w:hAnsi="宋体" w:cs="宋体"/>
                <w:bCs/>
                <w:kern w:val="0"/>
                <w:sz w:val="21"/>
                <w:szCs w:val="21"/>
                <w:highlight w:val="none"/>
                <w:u w:val="single"/>
                <w:shd w:val="clear" w:color="auto" w:fill="FFFFFF"/>
                <w:lang w:bidi="ar"/>
              </w:rPr>
              <w:t>（</w:t>
            </w:r>
            <w:r>
              <w:rPr>
                <w:rFonts w:hint="eastAsia" w:ascii="宋体" w:hAnsi="宋体" w:cs="宋体"/>
                <w:bCs/>
                <w:kern w:val="0"/>
                <w:sz w:val="21"/>
                <w:szCs w:val="21"/>
                <w:highlight w:val="none"/>
                <w:u w:val="single"/>
                <w:shd w:val="clear" w:color="auto" w:fill="FFFFFF"/>
                <w:lang w:val="en-US" w:eastAsia="zh-CN" w:bidi="ar"/>
              </w:rPr>
              <w:t>4</w:t>
            </w:r>
            <w:r>
              <w:rPr>
                <w:rFonts w:hint="eastAsia" w:ascii="宋体" w:hAnsi="宋体" w:cs="宋体"/>
                <w:bCs/>
                <w:kern w:val="0"/>
                <w:sz w:val="21"/>
                <w:szCs w:val="21"/>
                <w:highlight w:val="none"/>
                <w:u w:val="single"/>
                <w:shd w:val="clear" w:color="auto" w:fill="FFFFFF"/>
                <w:lang w:bidi="ar"/>
              </w:rPr>
              <w:t>）具备质量管理体系认证证书、环境管理体系认证证书、职业健康安全管理体系认证证书；</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踏勘现场</w:t>
            </w:r>
          </w:p>
        </w:tc>
        <w:tc>
          <w:tcPr>
            <w:tcW w:w="6975" w:type="dxa"/>
            <w:vAlign w:val="center"/>
          </w:tcPr>
          <w:p>
            <w:pPr>
              <w:pStyle w:val="2"/>
              <w:spacing w:line="420" w:lineRule="exact"/>
              <w:rPr>
                <w:rFonts w:hint="eastAsia" w:ascii="黑体" w:hAnsi="黑体" w:eastAsia="黑体" w:cs="黑体"/>
                <w:color w:val="auto"/>
                <w:sz w:val="21"/>
                <w:szCs w:val="21"/>
                <w:highlight w:val="none"/>
              </w:rPr>
            </w:pPr>
            <w:r>
              <w:rPr>
                <w:rFonts w:hint="eastAsia" w:ascii="宋体" w:hAnsi="宋体"/>
                <w:b w:val="0"/>
                <w:bCs w:val="0"/>
                <w:sz w:val="21"/>
                <w:szCs w:val="21"/>
                <w:highlight w:val="none"/>
              </w:rPr>
              <w:t>投标人自行踏勘，但必须踏勘现场并填写踏勘现场确认单，否则不得参与投标</w:t>
            </w:r>
            <w:r>
              <w:rPr>
                <w:rFonts w:hint="eastAsia" w:hAnsi="宋体"/>
                <w:b w:val="0"/>
                <w:bCs w:val="0"/>
                <w:sz w:val="21"/>
                <w:szCs w:val="21"/>
                <w:highlight w:val="none"/>
                <w:lang w:val="en-US" w:eastAsia="zh-CN"/>
              </w:rPr>
              <w:t>注：</w:t>
            </w:r>
            <w:r>
              <w:rPr>
                <w:rFonts w:hint="eastAsia" w:hAnsi="宋体" w:cs="宋体"/>
                <w:b w:val="0"/>
                <w:bCs w:val="0"/>
                <w:color w:val="auto"/>
                <w:sz w:val="21"/>
                <w:szCs w:val="21"/>
                <w:highlight w:val="none"/>
              </w:rPr>
              <w:t>必须查看现场后并做专项方案确定后方可参与投标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报价方式</w:t>
            </w:r>
          </w:p>
        </w:tc>
        <w:tc>
          <w:tcPr>
            <w:tcW w:w="6975" w:type="dxa"/>
            <w:vAlign w:val="center"/>
          </w:tcPr>
          <w:p>
            <w:pPr>
              <w:jc w:val="left"/>
              <w:rPr>
                <w:rFonts w:hint="eastAsia"/>
              </w:rPr>
            </w:pPr>
            <w:r>
              <w:rPr>
                <w:rFonts w:hint="eastAsia"/>
                <w:lang w:val="en-US" w:eastAsia="zh-CN"/>
              </w:rPr>
              <w:t>结算价</w:t>
            </w:r>
            <w:r>
              <w:rPr>
                <w:rFonts w:hint="default"/>
              </w:rPr>
              <w:t>=</w:t>
            </w:r>
            <w:r>
              <w:rPr>
                <w:rFonts w:hint="eastAsia"/>
                <w:lang w:val="en-US" w:eastAsia="zh-CN"/>
              </w:rPr>
              <w:t>投标方投标价+签证变更价格</w:t>
            </w:r>
            <w:r>
              <w:rPr>
                <w:rFonts w:hint="default"/>
                <w:lang w:val="en-US" w:eastAsia="zh-CN"/>
              </w:rPr>
              <w:t>-施工水电费1%-其他扣、罚款，施工期间若有增加项（含签证、洽商、变更等），需</w:t>
            </w:r>
            <w:r>
              <w:rPr>
                <w:rFonts w:hint="eastAsia"/>
                <w:lang w:val="en-US" w:eastAsia="zh-CN"/>
              </w:rPr>
              <w:t>经建设单位及甲方</w:t>
            </w:r>
            <w:r>
              <w:rPr>
                <w:rFonts w:hint="default"/>
                <w:lang w:val="en-US" w:eastAsia="zh-CN"/>
              </w:rPr>
              <w:t>认可及签字盖章，方可追加相关费用。</w:t>
            </w:r>
            <w:r>
              <w:rPr>
                <w:rFonts w:hint="eastAsia"/>
                <w:lang w:val="en-US" w:eastAsia="zh-CN"/>
              </w:rPr>
              <w:t>投标人所报总价含人、材、机、管理费、利润、规费、税金以及一切风险等。</w:t>
            </w:r>
            <w:r>
              <w:rPr>
                <w:rFonts w:hint="eastAsia"/>
              </w:rPr>
              <w:t>（详见报价表</w:t>
            </w:r>
            <w:r>
              <w:rPr>
                <w:rFonts w:hint="eastAsia"/>
                <w:lang w:val="en-US" w:eastAsia="zh-CN"/>
              </w:rPr>
              <w:t>,报价时须写明所用设备品牌</w:t>
            </w:r>
            <w:r>
              <w:rPr>
                <w:rFonts w:hint="eastAsia"/>
              </w:rPr>
              <w:t>）</w:t>
            </w:r>
          </w:p>
          <w:p>
            <w:pPr>
              <w:jc w:val="left"/>
              <w:rPr>
                <w:rFonts w:hint="eastAsia"/>
              </w:rPr>
            </w:pPr>
            <w:r>
              <w:rPr>
                <w:rFonts w:hint="eastAsia"/>
              </w:rPr>
              <w:t>2、对报价包含内容的明确：</w:t>
            </w:r>
          </w:p>
          <w:p>
            <w:pPr>
              <w:jc w:val="left"/>
              <w:rPr>
                <w:rFonts w:hint="eastAsia"/>
              </w:rPr>
            </w:pPr>
            <w:r>
              <w:rPr>
                <w:rFonts w:hint="eastAsia"/>
              </w:rPr>
              <w:fldChar w:fldCharType="begin"/>
            </w:r>
            <w:r>
              <w:rPr>
                <w:rFonts w:hint="eastAsia"/>
              </w:rPr>
              <w:instrText xml:space="preserve"> = 1 \* GB2 </w:instrText>
            </w:r>
            <w:r>
              <w:rPr>
                <w:rFonts w:hint="eastAsia"/>
              </w:rPr>
              <w:fldChar w:fldCharType="separate"/>
            </w:r>
            <w:r>
              <w:rPr>
                <w:rFonts w:hint="eastAsia"/>
              </w:rPr>
              <w:t>⑴</w:t>
            </w:r>
            <w:r>
              <w:rPr>
                <w:rFonts w:hint="eastAsia"/>
              </w:rPr>
              <w:fldChar w:fldCharType="end"/>
            </w:r>
            <w:r>
              <w:rPr>
                <w:rFonts w:hint="eastAsia"/>
                <w:lang w:val="en-US" w:eastAsia="zh-CN"/>
              </w:rPr>
              <w:t>包含消防水、消防弱电施工图纸及初步设计图纸内</w:t>
            </w:r>
            <w:r>
              <w:rPr>
                <w:rFonts w:hint="eastAsia"/>
              </w:rPr>
              <w:t>包含的全部工作内容；</w:t>
            </w:r>
            <w:r>
              <w:rPr>
                <w:rFonts w:hint="eastAsia"/>
              </w:rPr>
              <w:fldChar w:fldCharType="begin"/>
            </w:r>
            <w:r>
              <w:rPr>
                <w:rFonts w:hint="eastAsia"/>
              </w:rPr>
              <w:instrText xml:space="preserve"> = 2 \* GB2 </w:instrText>
            </w:r>
            <w:r>
              <w:rPr>
                <w:rFonts w:hint="eastAsia"/>
              </w:rPr>
              <w:fldChar w:fldCharType="separate"/>
            </w:r>
            <w:r>
              <w:rPr>
                <w:rFonts w:hint="eastAsia"/>
              </w:rPr>
              <w:t>⑵</w:t>
            </w:r>
            <w:r>
              <w:rPr>
                <w:rFonts w:hint="eastAsia"/>
              </w:rPr>
              <w:fldChar w:fldCharType="end"/>
            </w:r>
            <w:r>
              <w:rPr>
                <w:rFonts w:hint="eastAsia"/>
              </w:rPr>
              <w:t>承包范围内所需要的主材费、辅助材料费、人工费、机械费、二次搬运费、机具、工具用具等应计取的费用；</w:t>
            </w:r>
            <w:r>
              <w:rPr>
                <w:rFonts w:hint="eastAsia"/>
              </w:rPr>
              <w:fldChar w:fldCharType="begin"/>
            </w:r>
            <w:r>
              <w:rPr>
                <w:rFonts w:hint="eastAsia"/>
              </w:rPr>
              <w:instrText xml:space="preserve"> = 3 \* GB2 </w:instrText>
            </w:r>
            <w:r>
              <w:rPr>
                <w:rFonts w:hint="eastAsia"/>
              </w:rPr>
              <w:fldChar w:fldCharType="separate"/>
            </w:r>
            <w:r>
              <w:rPr>
                <w:rFonts w:hint="eastAsia"/>
              </w:rPr>
              <w:t>⑶</w:t>
            </w:r>
            <w:r>
              <w:rPr>
                <w:rFonts w:hint="eastAsia"/>
              </w:rPr>
              <w:fldChar w:fldCharType="end"/>
            </w:r>
            <w:r>
              <w:rPr>
                <w:rFonts w:hint="eastAsia"/>
              </w:rPr>
              <w:t xml:space="preserve">组织措施费、企业管理费、利润、税金及各种规费； </w:t>
            </w:r>
            <w:r>
              <w:rPr>
                <w:rFonts w:hint="eastAsia"/>
              </w:rPr>
              <w:fldChar w:fldCharType="begin"/>
            </w:r>
            <w:r>
              <w:rPr>
                <w:rFonts w:hint="eastAsia"/>
              </w:rPr>
              <w:instrText xml:space="preserve"> = 4 \* GB2 </w:instrText>
            </w:r>
            <w:r>
              <w:rPr>
                <w:rFonts w:hint="eastAsia"/>
              </w:rPr>
              <w:fldChar w:fldCharType="separate"/>
            </w:r>
            <w:r>
              <w:rPr>
                <w:rFonts w:hint="eastAsia"/>
              </w:rPr>
              <w:t>⑷</w:t>
            </w:r>
            <w:r>
              <w:rPr>
                <w:rFonts w:hint="eastAsia"/>
              </w:rPr>
              <w:fldChar w:fldCharType="end"/>
            </w:r>
            <w:r>
              <w:rPr>
                <w:rFonts w:hint="eastAsia"/>
              </w:rPr>
              <w:t>特殊工程的配合及同一作业面施工相互影响（人、材、机）降效的费用；</w:t>
            </w:r>
            <w:r>
              <w:rPr>
                <w:rFonts w:hint="eastAsia"/>
              </w:rPr>
              <w:fldChar w:fldCharType="begin"/>
            </w:r>
            <w:r>
              <w:rPr>
                <w:rFonts w:hint="eastAsia"/>
              </w:rPr>
              <w:instrText xml:space="preserve"> = 5 \* GB2 </w:instrText>
            </w:r>
            <w:r>
              <w:rPr>
                <w:rFonts w:hint="eastAsia"/>
              </w:rPr>
              <w:fldChar w:fldCharType="separate"/>
            </w:r>
            <w:r>
              <w:rPr>
                <w:rFonts w:hint="eastAsia"/>
              </w:rPr>
              <w:t>⑸</w:t>
            </w:r>
            <w:r>
              <w:rPr>
                <w:rFonts w:hint="eastAsia"/>
              </w:rPr>
              <w:fldChar w:fldCharType="end"/>
            </w:r>
            <w:r>
              <w:rPr>
                <w:rFonts w:hint="eastAsia"/>
              </w:rPr>
              <w:t xml:space="preserve">安全文明及环保施工费用; </w:t>
            </w:r>
            <w:r>
              <w:rPr>
                <w:rFonts w:hint="eastAsia"/>
              </w:rPr>
              <w:fldChar w:fldCharType="begin"/>
            </w:r>
            <w:r>
              <w:rPr>
                <w:rFonts w:hint="eastAsia"/>
              </w:rPr>
              <w:instrText xml:space="preserve"> = 6 \* GB2 </w:instrText>
            </w:r>
            <w:r>
              <w:rPr>
                <w:rFonts w:hint="eastAsia"/>
              </w:rPr>
              <w:fldChar w:fldCharType="separate"/>
            </w:r>
            <w:r>
              <w:rPr>
                <w:rFonts w:hint="eastAsia"/>
              </w:rPr>
              <w:t>⑹</w:t>
            </w:r>
            <w:r>
              <w:rPr>
                <w:rFonts w:hint="eastAsia"/>
              </w:rPr>
              <w:fldChar w:fldCharType="end"/>
            </w:r>
            <w:r>
              <w:rPr>
                <w:rFonts w:hint="eastAsia"/>
              </w:rPr>
              <w:t>自然气候、国家性重大会议影响造成停、窝工的费用；</w:t>
            </w:r>
            <w:r>
              <w:rPr>
                <w:rFonts w:hint="eastAsia"/>
              </w:rPr>
              <w:fldChar w:fldCharType="begin"/>
            </w:r>
            <w:r>
              <w:rPr>
                <w:rFonts w:hint="eastAsia"/>
              </w:rPr>
              <w:instrText xml:space="preserve"> = 7 \* GB2 </w:instrText>
            </w:r>
            <w:r>
              <w:rPr>
                <w:rFonts w:hint="eastAsia"/>
              </w:rPr>
              <w:fldChar w:fldCharType="separate"/>
            </w:r>
            <w:r>
              <w:rPr>
                <w:rFonts w:hint="eastAsia"/>
              </w:rPr>
              <w:t>⑺</w:t>
            </w:r>
            <w:r>
              <w:rPr>
                <w:rFonts w:hint="eastAsia"/>
              </w:rPr>
              <w:fldChar w:fldCharType="end"/>
            </w:r>
            <w:r>
              <w:rPr>
                <w:rFonts w:hint="eastAsia"/>
              </w:rPr>
              <w:t>如果涉及重大危险源项目，需要组织专家论证。专项方案、专家论证方案以及竣工资料的编制、整理、报验，专家论证由当地安监部门组织，费用由承包方支付；</w:t>
            </w:r>
            <w:r>
              <w:rPr>
                <w:rFonts w:hint="eastAsia"/>
              </w:rPr>
              <w:fldChar w:fldCharType="begin"/>
            </w:r>
            <w:r>
              <w:rPr>
                <w:rFonts w:hint="eastAsia"/>
              </w:rPr>
              <w:instrText xml:space="preserve"> = 8 \* GB2 </w:instrText>
            </w:r>
            <w:r>
              <w:rPr>
                <w:rFonts w:hint="eastAsia"/>
              </w:rPr>
              <w:fldChar w:fldCharType="separate"/>
            </w:r>
            <w:r>
              <w:rPr>
                <w:rFonts w:hint="eastAsia"/>
              </w:rPr>
              <w:t>⑻</w:t>
            </w:r>
            <w:r>
              <w:rPr>
                <w:rFonts w:hint="eastAsia"/>
              </w:rPr>
              <w:fldChar w:fldCharType="end"/>
            </w:r>
            <w:r>
              <w:rPr>
                <w:rFonts w:hint="eastAsia"/>
              </w:rPr>
              <w:t>临电内容：</w:t>
            </w: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二级以下（不含二级）配电箱、电线、电缆的敷设布置;</w:t>
            </w: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移动照明的灯架、灯管、灯泡等材料及安装维护;</w:t>
            </w:r>
            <w:r>
              <w:rPr>
                <w:rFonts w:hint="eastAsia"/>
              </w:rPr>
              <w:fldChar w:fldCharType="begin"/>
            </w:r>
            <w:r>
              <w:rPr>
                <w:rFonts w:hint="eastAsia"/>
              </w:rPr>
              <w:instrText xml:space="preserve"> = 9 \* GB2 </w:instrText>
            </w:r>
            <w:r>
              <w:rPr>
                <w:rFonts w:hint="eastAsia"/>
              </w:rPr>
              <w:fldChar w:fldCharType="separate"/>
            </w:r>
            <w:r>
              <w:rPr>
                <w:rFonts w:hint="eastAsia"/>
              </w:rPr>
              <w:t>⑼</w:t>
            </w:r>
            <w:r>
              <w:rPr>
                <w:rFonts w:hint="eastAsia"/>
              </w:rPr>
              <w:fldChar w:fldCharType="end"/>
            </w:r>
            <w:r>
              <w:rPr>
                <w:rFonts w:hint="eastAsia"/>
              </w:rPr>
              <w:t>装卸车：负责所需的材料、周转工具的进退场、装卸车，现场内倒运、分类码放及挂牌标示；</w:t>
            </w:r>
            <w:r>
              <w:rPr>
                <w:rFonts w:hint="eastAsia"/>
              </w:rPr>
              <w:fldChar w:fldCharType="begin"/>
            </w:r>
            <w:r>
              <w:rPr>
                <w:rFonts w:hint="eastAsia"/>
              </w:rPr>
              <w:instrText xml:space="preserve"> = 10 \* GB2 </w:instrText>
            </w:r>
            <w:r>
              <w:rPr>
                <w:rFonts w:hint="eastAsia"/>
              </w:rPr>
              <w:fldChar w:fldCharType="separate"/>
            </w:r>
            <w:r>
              <w:rPr>
                <w:rFonts w:hint="eastAsia"/>
              </w:rPr>
              <w:t>⑽</w:t>
            </w:r>
            <w:r>
              <w:rPr>
                <w:rFonts w:hint="eastAsia"/>
              </w:rPr>
              <w:fldChar w:fldCharType="end"/>
            </w:r>
            <w:r>
              <w:rPr>
                <w:rFonts w:hint="eastAsia"/>
              </w:rPr>
              <w:t>承包人职工安全防护用品均自备，具体包括：安全帽(由发包人统一配备，费用由承包人负担)、安全带、绝缘手套、绝缘鞋、口罩等；</w:t>
            </w:r>
            <w:r>
              <w:rPr>
                <w:rFonts w:hint="eastAsia"/>
              </w:rPr>
              <w:fldChar w:fldCharType="begin"/>
            </w:r>
            <w:r>
              <w:rPr>
                <w:rFonts w:hint="eastAsia"/>
              </w:rPr>
              <w:instrText xml:space="preserve"> = 11 \* GB2 </w:instrText>
            </w:r>
            <w:r>
              <w:rPr>
                <w:rFonts w:hint="eastAsia"/>
              </w:rPr>
              <w:fldChar w:fldCharType="separate"/>
            </w:r>
            <w:r>
              <w:rPr>
                <w:rFonts w:hint="eastAsia"/>
              </w:rPr>
              <w:t>⑾</w:t>
            </w:r>
            <w:r>
              <w:rPr>
                <w:rFonts w:hint="eastAsia"/>
              </w:rPr>
              <w:fldChar w:fldCharType="end"/>
            </w:r>
            <w:r>
              <w:rPr>
                <w:rFonts w:hint="eastAsia"/>
              </w:rPr>
              <w:t>不可避免的工程间隙时间。</w:t>
            </w:r>
          </w:p>
          <w:p>
            <w:pPr>
              <w:jc w:val="left"/>
              <w:rPr>
                <w:rFonts w:hint="default"/>
                <w:lang w:val="en-US" w:eastAsia="zh-CN"/>
              </w:rPr>
            </w:pPr>
            <w:r>
              <w:rPr>
                <w:rFonts w:hint="eastAsia"/>
                <w:lang w:val="en-US" w:eastAsia="zh-CN"/>
              </w:rPr>
              <w:t>3、报价中包含原有设备拆除，管路拆除。拆除下来的有价值的东西归甲方。拆除下来的东西运输至楼下指定位置。各专业应明确拆除范围，多拆的自行恢复。</w:t>
            </w:r>
          </w:p>
          <w:p>
            <w:pPr>
              <w:jc w:val="left"/>
              <w:rPr>
                <w:rFonts w:hint="default"/>
                <w:lang w:val="en-US" w:eastAsia="zh-CN"/>
              </w:rPr>
            </w:pPr>
            <w:r>
              <w:rPr>
                <w:rFonts w:hint="eastAsia"/>
                <w:lang w:val="en-US" w:eastAsia="zh-CN"/>
              </w:rPr>
              <w:t>4、报价中应包含抗震支架费用。</w:t>
            </w:r>
          </w:p>
          <w:p>
            <w:pPr>
              <w:jc w:val="left"/>
              <w:rPr>
                <w:rFonts w:hint="eastAsia"/>
                <w:lang w:val="en-US" w:eastAsia="zh-CN"/>
              </w:rPr>
            </w:pPr>
            <w:r>
              <w:rPr>
                <w:rFonts w:hint="eastAsia"/>
                <w:lang w:val="en-US" w:eastAsia="zh-CN"/>
              </w:rPr>
              <w:t>5、报价中应包含洞口封堵费用，新开洞口防火封堵，穿外墙洞口必要的防水。不做或者延误工期项目部有权自行安排人员封堵，产生费用三倍扣除队伍的。</w:t>
            </w:r>
          </w:p>
          <w:p>
            <w:pPr>
              <w:jc w:val="left"/>
              <w:rPr>
                <w:rFonts w:hint="eastAsia"/>
                <w:lang w:val="en-US" w:eastAsia="zh-CN"/>
              </w:rPr>
            </w:pPr>
            <w:r>
              <w:rPr>
                <w:rFonts w:hint="eastAsia"/>
                <w:lang w:val="en-US" w:eastAsia="zh-CN"/>
              </w:rPr>
              <w:t>6、活完底清，垃圾不清理项目部有权自行安排人员清理，产生费用三倍扣除队伍的。</w:t>
            </w:r>
          </w:p>
          <w:p>
            <w:pPr>
              <w:jc w:val="left"/>
              <w:rPr>
                <w:rFonts w:hint="eastAsia"/>
                <w:lang w:val="en-US" w:eastAsia="zh-CN"/>
              </w:rPr>
            </w:pPr>
            <w:r>
              <w:rPr>
                <w:rFonts w:hint="eastAsia"/>
                <w:lang w:val="en-US" w:eastAsia="zh-CN"/>
              </w:rPr>
              <w:t>7、所有报价中应包含现场可能产生的现场制作样板费用（以及样板不合适产生的拆改费用）。</w:t>
            </w:r>
          </w:p>
          <w:p>
            <w:pPr>
              <w:jc w:val="left"/>
              <w:rPr>
                <w:rFonts w:hint="eastAsia"/>
                <w:lang w:val="en-US" w:eastAsia="zh-CN"/>
              </w:rPr>
            </w:pPr>
            <w:r>
              <w:rPr>
                <w:rFonts w:hint="eastAsia"/>
                <w:lang w:val="en-US" w:eastAsia="zh-CN"/>
              </w:rPr>
              <w:t>8、消防报价中应包含第三方检测费用。</w:t>
            </w:r>
          </w:p>
          <w:p>
            <w:pPr>
              <w:jc w:val="left"/>
              <w:rPr>
                <w:rFonts w:hint="eastAsia"/>
                <w:lang w:val="en-US" w:eastAsia="zh-CN"/>
              </w:rPr>
            </w:pPr>
            <w:r>
              <w:rPr>
                <w:rFonts w:hint="eastAsia"/>
                <w:lang w:val="en-US" w:eastAsia="zh-CN"/>
              </w:rPr>
              <w:t>9、签证变更须经甲方及建设单位签字同意后方可施工。最终结算金额须经甲方同意方可计入最终结算。</w:t>
            </w:r>
          </w:p>
          <w:p>
            <w:pPr>
              <w:jc w:val="left"/>
              <w:rPr>
                <w:rFonts w:hint="eastAsia"/>
                <w:lang w:eastAsia="zh-CN"/>
              </w:rPr>
            </w:pPr>
            <w:r>
              <w:rPr>
                <w:rFonts w:hint="eastAsia"/>
                <w:lang w:val="en-US" w:eastAsia="zh-CN"/>
              </w:rPr>
              <w:t>10、消防专业所有变更均由中标方施工。中标方不得以任何理由拒绝变更工程的施工，如不服从甲方安排，拒不施工或拖延施工，甲方有权委托其他单位施工，所发生的费用按1.5倍从乙方工程款中扣除。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投标限价</w:t>
            </w:r>
          </w:p>
        </w:tc>
        <w:tc>
          <w:tcPr>
            <w:tcW w:w="6975" w:type="dxa"/>
            <w:vAlign w:val="center"/>
          </w:tcPr>
          <w:p>
            <w:pPr>
              <w:ind w:left="1680" w:hanging="1470" w:hangingChars="700"/>
              <w:jc w:val="left"/>
              <w:rPr>
                <w:rFonts w:hint="default" w:ascii="黑体" w:hAnsi="黑体" w:eastAsia="黑体" w:cs="黑体"/>
                <w:color w:val="FF0000"/>
                <w:sz w:val="21"/>
                <w:szCs w:val="21"/>
                <w:highlight w:val="none"/>
                <w:lang w:val="en-US" w:eastAsia="zh-CN"/>
              </w:rPr>
            </w:pPr>
            <w:r>
              <w:rPr>
                <w:rFonts w:hint="eastAsia" w:ascii="黑体" w:hAnsi="黑体" w:eastAsia="黑体" w:cs="黑体"/>
                <w:color w:val="FF0000"/>
                <w:sz w:val="21"/>
                <w:szCs w:val="21"/>
                <w:highlight w:val="none"/>
                <w:lang w:val="en-US" w:eastAsia="zh-CN"/>
              </w:rPr>
              <w:t>126万元</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投标有效期</w:t>
            </w:r>
          </w:p>
        </w:tc>
        <w:tc>
          <w:tcPr>
            <w:tcW w:w="6975" w:type="dxa"/>
            <w:vAlign w:val="center"/>
          </w:tcPr>
          <w:p>
            <w:pPr>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90</w:t>
            </w:r>
            <w:r>
              <w:rPr>
                <w:rFonts w:hint="eastAsia" w:ascii="黑体" w:hAnsi="黑体" w:eastAsia="黑体" w:cs="黑体"/>
                <w:color w:val="auto"/>
                <w:sz w:val="21"/>
                <w:szCs w:val="21"/>
                <w:highlight w:val="none"/>
              </w:rPr>
              <w:t>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投标保证金</w:t>
            </w:r>
          </w:p>
        </w:tc>
        <w:tc>
          <w:tcPr>
            <w:tcW w:w="6975" w:type="dxa"/>
            <w:vAlign w:val="center"/>
          </w:tcPr>
          <w:p>
            <w:pPr>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1、投标保证金形式：电汇、网银转账。</w:t>
            </w:r>
          </w:p>
          <w:p>
            <w:pPr>
              <w:jc w:val="left"/>
              <w:rPr>
                <w:rFonts w:hint="eastAsia" w:ascii="黑体" w:hAnsi="黑体" w:eastAsia="黑体" w:cs="黑体"/>
                <w:b/>
                <w:color w:val="auto"/>
                <w:sz w:val="21"/>
                <w:szCs w:val="21"/>
                <w:highlight w:val="none"/>
                <w:u w:val="single"/>
              </w:rPr>
            </w:pPr>
            <w:r>
              <w:rPr>
                <w:rFonts w:hint="eastAsia" w:ascii="黑体" w:hAnsi="黑体" w:eastAsia="黑体" w:cs="黑体"/>
                <w:b/>
                <w:color w:val="auto"/>
                <w:sz w:val="21"/>
                <w:szCs w:val="21"/>
                <w:highlight w:val="none"/>
              </w:rPr>
              <w:t>2、投标保证金金额：人民币</w:t>
            </w:r>
            <w:r>
              <w:rPr>
                <w:rFonts w:hint="eastAsia" w:ascii="黑体" w:hAnsi="黑体" w:eastAsia="黑体" w:cs="黑体"/>
                <w:b/>
                <w:color w:val="FF0000"/>
                <w:sz w:val="21"/>
                <w:szCs w:val="21"/>
                <w:highlight w:val="none"/>
                <w:lang w:val="en-US" w:eastAsia="zh-CN"/>
              </w:rPr>
              <w:t>2</w:t>
            </w:r>
            <w:r>
              <w:rPr>
                <w:rFonts w:hint="eastAsia" w:ascii="黑体" w:hAnsi="黑体" w:eastAsia="黑体" w:cs="黑体"/>
                <w:b/>
                <w:color w:val="FF0000"/>
                <w:sz w:val="21"/>
                <w:szCs w:val="21"/>
                <w:highlight w:val="none"/>
              </w:rPr>
              <w:t>0</w:t>
            </w:r>
            <w:r>
              <w:rPr>
                <w:rFonts w:hint="eastAsia" w:ascii="黑体" w:hAnsi="黑体" w:eastAsia="黑体" w:cs="黑体"/>
                <w:b/>
                <w:color w:val="FF0000"/>
                <w:sz w:val="21"/>
                <w:szCs w:val="21"/>
                <w:highlight w:val="none"/>
                <w:lang w:val="en-US" w:eastAsia="zh-CN"/>
              </w:rPr>
              <w:t>0</w:t>
            </w:r>
            <w:r>
              <w:rPr>
                <w:rFonts w:hint="eastAsia" w:ascii="黑体" w:hAnsi="黑体" w:eastAsia="黑体" w:cs="黑体"/>
                <w:b/>
                <w:color w:val="FF0000"/>
                <w:sz w:val="21"/>
                <w:szCs w:val="21"/>
                <w:highlight w:val="none"/>
              </w:rPr>
              <w:t>00.00元（大写：</w:t>
            </w:r>
            <w:r>
              <w:rPr>
                <w:rFonts w:hint="eastAsia" w:ascii="黑体" w:hAnsi="黑体" w:eastAsia="黑体" w:cs="黑体"/>
                <w:b/>
                <w:color w:val="FF0000"/>
                <w:sz w:val="21"/>
                <w:szCs w:val="21"/>
                <w:highlight w:val="none"/>
                <w:lang w:val="en-US" w:eastAsia="zh-CN"/>
              </w:rPr>
              <w:t>贰</w:t>
            </w:r>
            <w:r>
              <w:rPr>
                <w:rFonts w:hint="eastAsia" w:ascii="黑体" w:hAnsi="黑体" w:eastAsia="黑体" w:cs="黑体"/>
                <w:b/>
                <w:color w:val="FF0000"/>
                <w:sz w:val="21"/>
                <w:szCs w:val="21"/>
                <w:highlight w:val="none"/>
              </w:rPr>
              <w:t>万元整）</w:t>
            </w:r>
          </w:p>
          <w:p>
            <w:pPr>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3、递交截止时间：投标截止之日的前一个工作日下午</w:t>
            </w:r>
            <w:r>
              <w:rPr>
                <w:rFonts w:hint="eastAsia" w:ascii="黑体" w:hAnsi="黑体" w:eastAsia="黑体" w:cs="黑体"/>
                <w:b/>
                <w:color w:val="auto"/>
                <w:sz w:val="21"/>
                <w:szCs w:val="21"/>
                <w:highlight w:val="none"/>
                <w:lang w:val="en-US" w:eastAsia="zh-CN"/>
              </w:rPr>
              <w:t>18</w:t>
            </w:r>
            <w:r>
              <w:rPr>
                <w:rFonts w:hint="eastAsia" w:ascii="黑体" w:hAnsi="黑体" w:eastAsia="黑体" w:cs="黑体"/>
                <w:b/>
                <w:color w:val="auto"/>
                <w:sz w:val="21"/>
                <w:szCs w:val="21"/>
                <w:highlight w:val="none"/>
              </w:rPr>
              <w:t>：00之前（以到账时间为准）。账户详细信息如下：</w:t>
            </w:r>
          </w:p>
          <w:p>
            <w:pPr>
              <w:ind w:firstLine="480"/>
              <w:jc w:val="left"/>
              <w:rPr>
                <w:rFonts w:hint="eastAsia" w:ascii="宋体" w:hAnsi="宋体"/>
                <w:b/>
                <w:color w:val="auto"/>
                <w:sz w:val="21"/>
                <w:szCs w:val="21"/>
                <w:highlight w:val="none"/>
                <w:lang w:val="en-US" w:eastAsia="zh-CN"/>
              </w:rPr>
            </w:pPr>
            <w:r>
              <w:rPr>
                <w:rFonts w:hint="eastAsia" w:ascii="黑体" w:hAnsi="黑体" w:eastAsia="黑体" w:cs="黑体"/>
                <w:b/>
                <w:color w:val="auto"/>
                <w:sz w:val="21"/>
                <w:szCs w:val="21"/>
                <w:highlight w:val="none"/>
              </w:rPr>
              <w:t>开户名：</w:t>
            </w:r>
            <w:r>
              <w:rPr>
                <w:rFonts w:hint="eastAsia" w:ascii="宋体" w:hAnsi="宋体"/>
                <w:b/>
                <w:color w:val="auto"/>
                <w:sz w:val="21"/>
                <w:szCs w:val="21"/>
                <w:highlight w:val="none"/>
                <w:lang w:val="en-US" w:eastAsia="zh-CN"/>
              </w:rPr>
              <w:t>河北建工集团建筑装饰工程有限公司</w:t>
            </w:r>
          </w:p>
          <w:p>
            <w:pPr>
              <w:ind w:firstLine="480"/>
              <w:jc w:val="left"/>
              <w:rPr>
                <w:rFonts w:hint="default" w:ascii="宋体" w:hAnsi="宋体" w:eastAsia="宋体"/>
                <w:b/>
                <w:color w:val="auto"/>
                <w:sz w:val="21"/>
                <w:szCs w:val="21"/>
                <w:highlight w:val="none"/>
                <w:lang w:val="en-US" w:eastAsia="zh-CN"/>
              </w:rPr>
            </w:pPr>
            <w:r>
              <w:rPr>
                <w:rFonts w:hint="eastAsia" w:ascii="黑体" w:hAnsi="黑体" w:eastAsia="黑体" w:cs="黑体"/>
                <w:b/>
                <w:color w:val="auto"/>
                <w:sz w:val="21"/>
                <w:szCs w:val="21"/>
                <w:highlight w:val="none"/>
              </w:rPr>
              <w:t>开户行：</w:t>
            </w:r>
            <w:r>
              <w:rPr>
                <w:rFonts w:hint="eastAsia" w:ascii="宋体" w:hAnsi="宋体"/>
                <w:b/>
                <w:color w:val="auto"/>
                <w:sz w:val="21"/>
                <w:szCs w:val="21"/>
                <w:highlight w:val="none"/>
                <w:lang w:val="en-US" w:eastAsia="zh-CN"/>
              </w:rPr>
              <w:t>农业银行石家庄中山西路支行</w:t>
            </w:r>
          </w:p>
          <w:p>
            <w:pPr>
              <w:ind w:firstLine="632" w:firstLineChars="300"/>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账号：</w:t>
            </w:r>
            <w:r>
              <w:rPr>
                <w:rFonts w:hint="eastAsia" w:ascii="宋体" w:hAnsi="宋体"/>
                <w:b/>
                <w:color w:val="auto"/>
                <w:sz w:val="21"/>
                <w:szCs w:val="21"/>
                <w:highlight w:val="none"/>
                <w:lang w:val="en-US" w:eastAsia="zh-CN"/>
              </w:rPr>
              <w:t>50371101040004753</w:t>
            </w:r>
          </w:p>
          <w:p>
            <w:pPr>
              <w:jc w:val="left"/>
              <w:rPr>
                <w:rFonts w:hint="eastAsia" w:ascii="黑体" w:hAnsi="黑体" w:eastAsia="黑体" w:cs="黑体"/>
                <w:color w:val="auto"/>
                <w:sz w:val="21"/>
                <w:szCs w:val="21"/>
                <w:highlight w:val="none"/>
              </w:rPr>
            </w:pPr>
            <w:r>
              <w:rPr>
                <w:rFonts w:hint="eastAsia" w:ascii="黑体" w:hAnsi="黑体" w:eastAsia="黑体" w:cs="黑体"/>
                <w:b/>
                <w:color w:val="auto"/>
                <w:sz w:val="21"/>
                <w:szCs w:val="21"/>
                <w:highlight w:val="none"/>
              </w:rPr>
              <w:t>4、投标保证金的退还：最迟在合同签订后5日内向中标人和未中标的投标人退还投标保证金。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15</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招标方式</w:t>
            </w:r>
          </w:p>
        </w:tc>
        <w:tc>
          <w:tcPr>
            <w:tcW w:w="6975" w:type="dxa"/>
            <w:vAlign w:val="center"/>
          </w:tcPr>
          <w:p>
            <w:pPr>
              <w:jc w:val="left"/>
              <w:rPr>
                <w:rFonts w:hint="eastAsia" w:ascii="黑体" w:hAnsi="黑体" w:eastAsia="黑体" w:cs="黑体"/>
                <w:b/>
                <w:bCs/>
                <w:color w:val="auto"/>
                <w:spacing w:val="8"/>
                <w:sz w:val="21"/>
                <w:szCs w:val="21"/>
                <w:highlight w:val="none"/>
                <w:lang w:val="en-US" w:eastAsia="zh-CN"/>
              </w:rPr>
            </w:pPr>
            <w:r>
              <w:rPr>
                <w:rFonts w:hint="eastAsia" w:ascii="黑体" w:hAnsi="黑体" w:eastAsia="黑体" w:cs="黑体"/>
                <w:b/>
                <w:bCs/>
                <w:color w:val="auto"/>
                <w:spacing w:val="8"/>
                <w:sz w:val="21"/>
                <w:szCs w:val="21"/>
                <w:highlight w:val="none"/>
                <w:lang w:val="en-US" w:eastAsia="zh-CN"/>
              </w:rPr>
              <w:t>公开招标，网上竞价，先招后议。投标人须先到项目部报名，项目部对报名单位进行资格预审（项目部根据报名情况进行考察），资格审查结束后，项目部推荐合格投标人在网标平台进行注册，开通投标登陆账号，并由中采网进行指导。本次投标在中采网招标平台上进行。平台网址为：</w:t>
            </w:r>
            <w:r>
              <w:rPr>
                <w:rFonts w:hint="eastAsia" w:ascii="黑体" w:hAnsi="黑体" w:eastAsia="黑体" w:cs="黑体"/>
                <w:b/>
                <w:bCs/>
                <w:color w:val="auto"/>
                <w:spacing w:val="8"/>
                <w:sz w:val="21"/>
                <w:szCs w:val="21"/>
                <w:highlight w:val="none"/>
                <w:lang w:val="en-US" w:eastAsia="zh-CN"/>
              </w:rPr>
              <w:fldChar w:fldCharType="begin"/>
            </w:r>
            <w:r>
              <w:rPr>
                <w:rFonts w:hint="eastAsia" w:ascii="黑体" w:hAnsi="黑体" w:eastAsia="黑体" w:cs="黑体"/>
                <w:b/>
                <w:bCs/>
                <w:color w:val="auto"/>
                <w:spacing w:val="8"/>
                <w:sz w:val="21"/>
                <w:szCs w:val="21"/>
                <w:highlight w:val="none"/>
                <w:lang w:val="en-US" w:eastAsia="zh-CN"/>
              </w:rPr>
              <w:instrText xml:space="preserve"> HYPERLINK "http://webbiao.com" </w:instrText>
            </w:r>
            <w:r>
              <w:rPr>
                <w:rFonts w:hint="eastAsia" w:ascii="黑体" w:hAnsi="黑体" w:eastAsia="黑体" w:cs="黑体"/>
                <w:b/>
                <w:bCs/>
                <w:color w:val="auto"/>
                <w:spacing w:val="8"/>
                <w:sz w:val="21"/>
                <w:szCs w:val="21"/>
                <w:highlight w:val="none"/>
                <w:lang w:val="en-US" w:eastAsia="zh-CN"/>
              </w:rPr>
              <w:fldChar w:fldCharType="separate"/>
            </w:r>
            <w:r>
              <w:rPr>
                <w:rFonts w:hint="eastAsia" w:ascii="黑体" w:hAnsi="黑体" w:eastAsia="黑体" w:cs="黑体"/>
                <w:b/>
                <w:bCs/>
                <w:color w:val="auto"/>
                <w:spacing w:val="8"/>
                <w:sz w:val="21"/>
                <w:szCs w:val="21"/>
                <w:highlight w:val="none"/>
                <w:lang w:val="en-US" w:eastAsia="zh-CN"/>
              </w:rPr>
              <w:t>http://webbiao.com</w:t>
            </w:r>
            <w:r>
              <w:rPr>
                <w:rFonts w:hint="eastAsia" w:ascii="黑体" w:hAnsi="黑体" w:eastAsia="黑体" w:cs="黑体"/>
                <w:b/>
                <w:bCs/>
                <w:color w:val="auto"/>
                <w:spacing w:val="8"/>
                <w:sz w:val="21"/>
                <w:szCs w:val="21"/>
                <w:highlight w:val="none"/>
                <w:lang w:val="en-US" w:eastAsia="zh-CN"/>
              </w:rPr>
              <w:fldChar w:fldCharType="end"/>
            </w:r>
            <w:r>
              <w:rPr>
                <w:rFonts w:hint="eastAsia" w:ascii="黑体" w:hAnsi="黑体" w:eastAsia="黑体" w:cs="黑体"/>
                <w:b/>
                <w:bCs/>
                <w:color w:val="auto"/>
                <w:spacing w:val="8"/>
                <w:sz w:val="21"/>
                <w:szCs w:val="21"/>
                <w:highlight w:val="none"/>
                <w:lang w:val="en-US" w:eastAsia="zh-CN"/>
              </w:rPr>
              <w:t>。网上开标结束后，招标人组织入围的投标人进行谈判，最终确定中标人。</w:t>
            </w:r>
          </w:p>
          <w:p>
            <w:pPr>
              <w:pStyle w:val="17"/>
              <w:rPr>
                <w:rFonts w:hint="eastAsia"/>
                <w:highlight w:val="none"/>
              </w:rPr>
            </w:pPr>
            <w:r>
              <w:rPr>
                <w:rFonts w:hint="eastAsia" w:ascii="黑体" w:hAnsi="黑体" w:eastAsia="黑体" w:cs="黑体"/>
                <w:b/>
                <w:bCs/>
                <w:color w:val="auto"/>
                <w:spacing w:val="8"/>
                <w:kern w:val="2"/>
                <w:sz w:val="21"/>
                <w:szCs w:val="21"/>
                <w:highlight w:val="none"/>
                <w:lang w:val="en-US" w:eastAsia="zh-CN" w:bidi="ar-SA"/>
              </w:rPr>
              <w:t>招标人确定中标人的原则为低价者优先，但明显低于成本价的除外，不承诺最低价者中标。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79" w:type="dxa"/>
            <w:vAlign w:val="center"/>
          </w:tcPr>
          <w:p>
            <w:pPr>
              <w:jc w:val="center"/>
              <w:rPr>
                <w:rFonts w:hint="eastAsia" w:ascii="黑体" w:hAnsi="黑体" w:eastAsia="黑体" w:cs="黑体"/>
                <w:color w:val="FF0000"/>
                <w:sz w:val="24"/>
                <w:highlight w:val="none"/>
              </w:rPr>
            </w:pPr>
            <w:r>
              <w:rPr>
                <w:rFonts w:hint="eastAsia" w:ascii="黑体" w:hAnsi="黑体" w:eastAsia="黑体" w:cs="黑体"/>
                <w:color w:val="FF0000"/>
                <w:sz w:val="24"/>
                <w:highlight w:val="none"/>
              </w:rPr>
              <w:t>16</w:t>
            </w:r>
          </w:p>
        </w:tc>
        <w:tc>
          <w:tcPr>
            <w:tcW w:w="1829" w:type="dxa"/>
            <w:vAlign w:val="center"/>
          </w:tcPr>
          <w:p>
            <w:pPr>
              <w:jc w:val="center"/>
              <w:rPr>
                <w:rFonts w:hint="eastAsia" w:ascii="黑体" w:hAnsi="黑体" w:eastAsia="黑体" w:cs="黑体"/>
                <w:color w:val="FF0000"/>
                <w:sz w:val="21"/>
                <w:szCs w:val="21"/>
                <w:highlight w:val="none"/>
              </w:rPr>
            </w:pPr>
            <w:r>
              <w:rPr>
                <w:rFonts w:hint="eastAsia" w:ascii="黑体" w:hAnsi="黑体" w:eastAsia="黑体" w:cs="黑体"/>
                <w:color w:val="FF0000"/>
                <w:sz w:val="21"/>
                <w:szCs w:val="21"/>
                <w:highlight w:val="none"/>
              </w:rPr>
              <w:t>网上开标</w:t>
            </w:r>
          </w:p>
          <w:p>
            <w:pPr>
              <w:jc w:val="center"/>
              <w:rPr>
                <w:rFonts w:hint="eastAsia" w:ascii="黑体" w:hAnsi="黑体" w:eastAsia="黑体" w:cs="黑体"/>
                <w:color w:val="FF0000"/>
                <w:sz w:val="21"/>
                <w:szCs w:val="21"/>
                <w:highlight w:val="none"/>
              </w:rPr>
            </w:pPr>
            <w:r>
              <w:rPr>
                <w:rFonts w:hint="eastAsia" w:ascii="黑体" w:hAnsi="黑体" w:eastAsia="黑体" w:cs="黑体"/>
                <w:color w:val="FF0000"/>
                <w:sz w:val="21"/>
                <w:szCs w:val="21"/>
                <w:highlight w:val="none"/>
              </w:rPr>
              <w:t>时间</w:t>
            </w:r>
          </w:p>
        </w:tc>
        <w:tc>
          <w:tcPr>
            <w:tcW w:w="6975" w:type="dxa"/>
            <w:vAlign w:val="center"/>
          </w:tcPr>
          <w:p>
            <w:pPr>
              <w:rPr>
                <w:rFonts w:hint="default" w:ascii="黑体" w:hAnsi="黑体" w:eastAsia="黑体" w:cs="黑体"/>
                <w:b/>
                <w:color w:val="FF0000"/>
                <w:sz w:val="21"/>
                <w:szCs w:val="21"/>
                <w:highlight w:val="none"/>
                <w:lang w:val="en-US" w:eastAsia="zh-CN"/>
              </w:rPr>
            </w:pPr>
            <w:r>
              <w:rPr>
                <w:rFonts w:hint="eastAsia" w:ascii="黑体" w:hAnsi="黑体" w:eastAsia="黑体" w:cs="黑体"/>
                <w:b/>
                <w:color w:val="FF0000"/>
                <w:sz w:val="21"/>
                <w:szCs w:val="21"/>
                <w:highlight w:val="none"/>
              </w:rPr>
              <w:t xml:space="preserve">开标时间: </w:t>
            </w:r>
            <w:r>
              <w:rPr>
                <w:rFonts w:hint="eastAsia" w:ascii="黑体" w:hAnsi="黑体" w:eastAsia="黑体" w:cs="黑体"/>
                <w:b/>
                <w:color w:val="FF0000"/>
                <w:sz w:val="21"/>
                <w:szCs w:val="21"/>
                <w:highlight w:val="none"/>
                <w:lang w:val="en-US" w:eastAsia="zh-CN"/>
              </w:rPr>
              <w:t>2023年5月14日下午5：00点</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9"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17</w:t>
            </w:r>
          </w:p>
        </w:tc>
        <w:tc>
          <w:tcPr>
            <w:tcW w:w="1829"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谈判时间</w:t>
            </w:r>
          </w:p>
        </w:tc>
        <w:tc>
          <w:tcPr>
            <w:tcW w:w="6975" w:type="dxa"/>
            <w:vAlign w:val="center"/>
          </w:tcPr>
          <w:p>
            <w:pPr>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谈判时间另行通知；谈判地点为</w:t>
            </w:r>
            <w:r>
              <w:rPr>
                <w:rFonts w:hint="eastAsia" w:ascii="宋体" w:hAnsi="宋体" w:cs="宋体"/>
                <w:color w:val="auto"/>
                <w:szCs w:val="21"/>
                <w:highlight w:val="none"/>
              </w:rPr>
              <w:t>石家庄市石获南路66号建工大厦十三层</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河北建工集团建筑装饰工程有限公司会议室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18</w:t>
            </w:r>
          </w:p>
        </w:tc>
        <w:tc>
          <w:tcPr>
            <w:tcW w:w="1829"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开标程序</w:t>
            </w:r>
          </w:p>
        </w:tc>
        <w:tc>
          <w:tcPr>
            <w:tcW w:w="6975" w:type="dxa"/>
            <w:vAlign w:val="center"/>
          </w:tcPr>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开标程序分为网上竞价阶段和谈判阶段。投标单位应不少于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家，少于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家时延长报名时间，不少于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家时再开标。</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1、竞价阶段：</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在电子商务平台综合评标系统进行投标。采用投标报价高位淘汰方式。在</w:t>
            </w:r>
            <w:r>
              <w:rPr>
                <w:rFonts w:hint="eastAsia" w:ascii="黑体" w:hAnsi="黑体" w:eastAsia="黑体" w:cs="黑体"/>
                <w:b/>
                <w:color w:val="auto"/>
                <w:sz w:val="21"/>
                <w:szCs w:val="21"/>
                <w:highlight w:val="none"/>
              </w:rPr>
              <w:t>开标前</w:t>
            </w:r>
            <w:r>
              <w:rPr>
                <w:rFonts w:hint="eastAsia" w:ascii="黑体" w:hAnsi="黑体" w:eastAsia="黑体" w:cs="黑体"/>
                <w:b/>
                <w:bCs/>
                <w:color w:val="auto"/>
                <w:spacing w:val="8"/>
                <w:sz w:val="21"/>
                <w:szCs w:val="21"/>
                <w:highlight w:val="none"/>
              </w:rPr>
              <w:t>上传至电子商务平台；</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投标单位大于</w:t>
            </w:r>
            <w:r>
              <w:rPr>
                <w:rFonts w:hint="eastAsia" w:ascii="黑体" w:hAnsi="黑体" w:eastAsia="黑体" w:cs="黑体"/>
                <w:b/>
                <w:bCs/>
                <w:color w:val="auto"/>
                <w:spacing w:val="8"/>
                <w:sz w:val="21"/>
                <w:szCs w:val="21"/>
                <w:highlight w:val="none"/>
                <w:lang w:val="en-US" w:eastAsia="zh-CN"/>
              </w:rPr>
              <w:t>7</w:t>
            </w:r>
            <w:r>
              <w:rPr>
                <w:rFonts w:hint="eastAsia" w:ascii="黑体" w:hAnsi="黑体" w:eastAsia="黑体" w:cs="黑体"/>
                <w:b/>
                <w:bCs/>
                <w:color w:val="auto"/>
                <w:spacing w:val="8"/>
                <w:sz w:val="21"/>
                <w:szCs w:val="21"/>
                <w:highlight w:val="none"/>
              </w:rPr>
              <w:t>家时，</w:t>
            </w:r>
            <w:r>
              <w:rPr>
                <w:rFonts w:hint="eastAsia" w:ascii="黑体" w:hAnsi="黑体" w:eastAsia="黑体" w:cs="黑体"/>
                <w:b/>
                <w:bCs/>
                <w:color w:val="auto"/>
                <w:spacing w:val="8"/>
                <w:sz w:val="21"/>
                <w:szCs w:val="21"/>
                <w:highlight w:val="none"/>
                <w:lang w:val="en-US" w:eastAsia="zh-CN"/>
              </w:rPr>
              <w:t>①</w:t>
            </w:r>
            <w:r>
              <w:rPr>
                <w:rFonts w:hint="eastAsia" w:ascii="黑体" w:hAnsi="黑体" w:eastAsia="黑体" w:cs="黑体"/>
                <w:b/>
                <w:bCs/>
                <w:color w:val="auto"/>
                <w:spacing w:val="8"/>
                <w:sz w:val="21"/>
                <w:szCs w:val="21"/>
                <w:highlight w:val="none"/>
              </w:rPr>
              <w:t>采用三个阶段报价，报价排序阶段不淘汰，中间可随意进行报价,报价截止后根据总价格高低排名,公开各投标人的总价和分项报价;</w:t>
            </w:r>
            <w:r>
              <w:rPr>
                <w:rFonts w:hint="eastAsia" w:ascii="黑体" w:hAnsi="黑体" w:eastAsia="黑体" w:cs="黑体"/>
                <w:b/>
                <w:bCs/>
                <w:color w:val="auto"/>
                <w:spacing w:val="8"/>
                <w:sz w:val="21"/>
                <w:szCs w:val="21"/>
                <w:highlight w:val="none"/>
                <w:lang w:val="en-US" w:eastAsia="zh-CN"/>
              </w:rPr>
              <w:t>②</w:t>
            </w:r>
            <w:r>
              <w:rPr>
                <w:rFonts w:hint="eastAsia" w:ascii="黑体" w:hAnsi="黑体" w:eastAsia="黑体" w:cs="黑体"/>
                <w:b/>
                <w:bCs/>
                <w:color w:val="auto"/>
                <w:spacing w:val="8"/>
                <w:sz w:val="21"/>
                <w:szCs w:val="21"/>
                <w:highlight w:val="none"/>
              </w:rPr>
              <w:t>第一阶段报价数向上取整)进入第二阶段报价;</w:t>
            </w:r>
            <w:r>
              <w:rPr>
                <w:rFonts w:hint="eastAsia" w:ascii="黑体" w:hAnsi="黑体" w:eastAsia="黑体" w:cs="黑体"/>
                <w:b/>
                <w:bCs/>
                <w:color w:val="auto"/>
                <w:spacing w:val="8"/>
                <w:sz w:val="21"/>
                <w:szCs w:val="21"/>
                <w:highlight w:val="none"/>
                <w:lang w:val="en-US" w:eastAsia="zh-CN"/>
              </w:rPr>
              <w:t>③</w:t>
            </w:r>
            <w:r>
              <w:rPr>
                <w:rFonts w:hint="eastAsia" w:ascii="黑体" w:hAnsi="黑体" w:eastAsia="黑体" w:cs="黑体"/>
                <w:b/>
                <w:bCs/>
                <w:color w:val="auto"/>
                <w:spacing w:val="8"/>
                <w:sz w:val="21"/>
                <w:szCs w:val="21"/>
                <w:highlight w:val="none"/>
              </w:rPr>
              <w:t>第二阶段报价只能在第一阶段报价的基础上往低报，截止后3家进入谈判阶段。报价时间间隔为</w:t>
            </w:r>
            <w:r>
              <w:rPr>
                <w:rFonts w:hint="eastAsia" w:ascii="黑体" w:hAnsi="黑体" w:eastAsia="黑体" w:cs="黑体"/>
                <w:b/>
                <w:bCs/>
                <w:color w:val="auto"/>
                <w:spacing w:val="8"/>
                <w:sz w:val="21"/>
                <w:szCs w:val="21"/>
                <w:highlight w:val="none"/>
                <w:lang w:val="en-US" w:eastAsia="zh-CN"/>
              </w:rPr>
              <w:t>6</w:t>
            </w:r>
            <w:r>
              <w:rPr>
                <w:rFonts w:hint="eastAsia" w:ascii="黑体" w:hAnsi="黑体" w:eastAsia="黑体" w:cs="黑体"/>
                <w:b/>
                <w:bCs/>
                <w:color w:val="auto"/>
                <w:spacing w:val="8"/>
                <w:sz w:val="21"/>
                <w:szCs w:val="21"/>
                <w:highlight w:val="none"/>
              </w:rPr>
              <w:t>0分钟。</w:t>
            </w:r>
          </w:p>
          <w:p>
            <w:pPr>
              <w:ind w:firstLine="454" w:firstLineChars="200"/>
              <w:jc w:val="left"/>
              <w:rPr>
                <w:rFonts w:hint="default" w:ascii="黑体" w:hAnsi="黑体" w:eastAsia="黑体" w:cs="黑体"/>
                <w:b/>
                <w:bCs/>
                <w:color w:val="auto"/>
                <w:spacing w:val="8"/>
                <w:sz w:val="21"/>
                <w:szCs w:val="21"/>
                <w:highlight w:val="none"/>
                <w:lang w:val="en-US" w:eastAsia="zh-CN"/>
              </w:rPr>
            </w:pPr>
            <w:r>
              <w:rPr>
                <w:rFonts w:hint="eastAsia" w:ascii="黑体" w:hAnsi="黑体" w:eastAsia="黑体" w:cs="黑体"/>
                <w:b/>
                <w:bCs/>
                <w:color w:val="auto"/>
                <w:spacing w:val="8"/>
                <w:sz w:val="21"/>
                <w:szCs w:val="21"/>
                <w:highlight w:val="none"/>
              </w:rPr>
              <w:t>2、谈判阶段：</w:t>
            </w:r>
            <w:r>
              <w:rPr>
                <w:rFonts w:hint="eastAsia" w:ascii="黑体" w:hAnsi="黑体" w:eastAsia="黑体" w:cs="黑体"/>
                <w:b/>
                <w:bCs/>
                <w:color w:val="auto"/>
                <w:spacing w:val="8"/>
                <w:sz w:val="21"/>
                <w:szCs w:val="21"/>
                <w:highlight w:val="none"/>
                <w:lang w:val="en-US" w:eastAsia="zh-CN"/>
              </w:rPr>
              <w:t xml:space="preserve">                                                                                                                                                                                                                                                                                                                                                                                                                                                                                                                                                                                    </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lang w:val="en-US" w:eastAsia="zh-CN"/>
              </w:rPr>
              <w:t>（每个标段）</w:t>
            </w:r>
            <w:r>
              <w:rPr>
                <w:rFonts w:hint="eastAsia" w:ascii="黑体" w:hAnsi="黑体" w:eastAsia="黑体" w:cs="黑体"/>
                <w:b/>
                <w:bCs/>
                <w:color w:val="auto"/>
                <w:spacing w:val="8"/>
                <w:sz w:val="21"/>
                <w:szCs w:val="21"/>
                <w:highlight w:val="none"/>
              </w:rPr>
              <w:t>进入谈判阶段的投标单位需提供装订成册并按格式要求盖章</w:t>
            </w:r>
            <w:r>
              <w:rPr>
                <w:rFonts w:hint="eastAsia" w:ascii="黑体" w:hAnsi="黑体" w:eastAsia="黑体" w:cs="黑体"/>
                <w:b/>
                <w:bCs/>
                <w:color w:val="auto"/>
                <w:spacing w:val="8"/>
                <w:sz w:val="21"/>
                <w:szCs w:val="21"/>
                <w:highlight w:val="none"/>
                <w:lang w:eastAsia="zh-CN"/>
              </w:rPr>
              <w:t>、</w:t>
            </w:r>
            <w:r>
              <w:rPr>
                <w:rFonts w:hint="eastAsia" w:ascii="黑体" w:hAnsi="黑体" w:eastAsia="黑体" w:cs="黑体"/>
                <w:b/>
                <w:bCs/>
                <w:color w:val="auto"/>
                <w:spacing w:val="8"/>
                <w:sz w:val="21"/>
                <w:szCs w:val="21"/>
                <w:highlight w:val="none"/>
              </w:rPr>
              <w:t>签字</w:t>
            </w:r>
            <w:r>
              <w:rPr>
                <w:rFonts w:hint="eastAsia" w:ascii="黑体" w:hAnsi="黑体" w:eastAsia="黑体" w:cs="黑体"/>
                <w:b/>
                <w:bCs/>
                <w:color w:val="auto"/>
                <w:spacing w:val="8"/>
                <w:sz w:val="21"/>
                <w:szCs w:val="21"/>
                <w:highlight w:val="none"/>
                <w:lang w:eastAsia="zh-CN"/>
              </w:rPr>
              <w:t>、</w:t>
            </w:r>
            <w:r>
              <w:rPr>
                <w:rFonts w:hint="eastAsia" w:ascii="黑体" w:hAnsi="黑体" w:eastAsia="黑体" w:cs="黑体"/>
                <w:b/>
                <w:bCs/>
                <w:color w:val="auto"/>
                <w:spacing w:val="8"/>
                <w:sz w:val="21"/>
                <w:szCs w:val="21"/>
                <w:highlight w:val="none"/>
                <w:lang w:val="en-US" w:eastAsia="zh-CN"/>
              </w:rPr>
              <w:t>密封</w:t>
            </w:r>
            <w:r>
              <w:rPr>
                <w:rFonts w:hint="eastAsia" w:ascii="黑体" w:hAnsi="黑体" w:eastAsia="黑体" w:cs="黑体"/>
                <w:b/>
                <w:bCs/>
                <w:color w:val="auto"/>
                <w:spacing w:val="8"/>
                <w:sz w:val="21"/>
                <w:szCs w:val="21"/>
                <w:highlight w:val="none"/>
              </w:rPr>
              <w:t>的投标文件</w:t>
            </w:r>
            <w:r>
              <w:rPr>
                <w:rFonts w:hint="eastAsia" w:ascii="黑体" w:hAnsi="黑体" w:eastAsia="黑体" w:cs="黑体"/>
                <w:b/>
                <w:bCs/>
                <w:color w:val="auto"/>
                <w:spacing w:val="8"/>
                <w:sz w:val="21"/>
                <w:szCs w:val="21"/>
                <w:highlight w:val="none"/>
                <w:lang w:val="en-US" w:eastAsia="zh-CN"/>
              </w:rPr>
              <w:t>3</w:t>
            </w:r>
            <w:r>
              <w:rPr>
                <w:rFonts w:hint="eastAsia" w:ascii="黑体" w:hAnsi="黑体" w:eastAsia="黑体" w:cs="黑体"/>
                <w:b/>
                <w:bCs/>
                <w:color w:val="auto"/>
                <w:spacing w:val="8"/>
                <w:sz w:val="21"/>
                <w:szCs w:val="21"/>
                <w:highlight w:val="none"/>
              </w:rPr>
              <w:t>份，商务报价部分</w:t>
            </w:r>
            <w:r>
              <w:rPr>
                <w:rFonts w:hint="eastAsia" w:ascii="黑体" w:hAnsi="黑体" w:eastAsia="黑体" w:cs="黑体"/>
                <w:b/>
                <w:bCs/>
                <w:color w:val="auto"/>
                <w:spacing w:val="8"/>
                <w:sz w:val="21"/>
                <w:szCs w:val="21"/>
                <w:highlight w:val="none"/>
                <w:lang w:val="en-US" w:eastAsia="zh-CN"/>
              </w:rPr>
              <w:t>不得高于</w:t>
            </w:r>
            <w:r>
              <w:rPr>
                <w:rFonts w:hint="eastAsia" w:ascii="黑体" w:hAnsi="黑体" w:eastAsia="黑体" w:cs="黑体"/>
                <w:b/>
                <w:bCs/>
                <w:color w:val="auto"/>
                <w:spacing w:val="8"/>
                <w:sz w:val="21"/>
                <w:szCs w:val="21"/>
                <w:highlight w:val="none"/>
              </w:rPr>
              <w:t>最后一轮网上竞价填写。</w:t>
            </w:r>
          </w:p>
          <w:p>
            <w:pPr>
              <w:ind w:firstLine="514" w:firstLineChars="200"/>
              <w:jc w:val="left"/>
              <w:rPr>
                <w:rFonts w:hint="eastAsia" w:ascii="黑体" w:hAnsi="黑体" w:eastAsia="黑体" w:cs="黑体"/>
                <w:b/>
                <w:bCs/>
                <w:color w:val="auto"/>
                <w:spacing w:val="8"/>
                <w:sz w:val="24"/>
                <w:szCs w:val="24"/>
                <w:highlight w:val="none"/>
                <w:u w:val="single"/>
                <w:lang w:val="en-US" w:eastAsia="zh-CN"/>
              </w:rPr>
            </w:pPr>
          </w:p>
          <w:p>
            <w:pPr>
              <w:ind w:firstLine="514" w:firstLineChars="200"/>
              <w:jc w:val="left"/>
              <w:rPr>
                <w:rFonts w:hint="default" w:ascii="黑体" w:hAnsi="黑体" w:eastAsia="黑体" w:cs="黑体"/>
                <w:b/>
                <w:bCs/>
                <w:color w:val="auto"/>
                <w:spacing w:val="8"/>
                <w:sz w:val="24"/>
                <w:szCs w:val="24"/>
                <w:highlight w:val="none"/>
                <w:u w:val="single"/>
                <w:lang w:val="en-US" w:eastAsia="zh-CN"/>
              </w:rPr>
            </w:pPr>
            <w:r>
              <w:rPr>
                <w:rFonts w:hint="eastAsia" w:ascii="黑体" w:hAnsi="黑体" w:eastAsia="黑体" w:cs="黑体"/>
                <w:b/>
                <w:bCs/>
                <w:color w:val="auto"/>
                <w:spacing w:val="8"/>
                <w:sz w:val="24"/>
                <w:szCs w:val="24"/>
                <w:highlight w:val="none"/>
                <w:u w:val="single"/>
                <w:lang w:val="en-US" w:eastAsia="zh-CN"/>
              </w:rPr>
              <w:t>投标文件（3份）必须密封在一个封套里，封套封皮格式自拟但必须注明项目名称、投标单位名称、所投标段名称（例如：标段一）且盖投标单位公章。未按要求密封以及盖章的按非标处理。</w:t>
            </w:r>
          </w:p>
          <w:p>
            <w:pPr>
              <w:jc w:val="left"/>
              <w:rPr>
                <w:rFonts w:hint="eastAsia" w:ascii="黑体" w:hAnsi="黑体" w:eastAsia="黑体" w:cs="黑体"/>
                <w:b/>
                <w:bCs/>
                <w:color w:val="auto"/>
                <w:spacing w:val="8"/>
                <w:sz w:val="21"/>
                <w:szCs w:val="21"/>
                <w:highlight w:val="none"/>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19</w:t>
            </w:r>
          </w:p>
        </w:tc>
        <w:tc>
          <w:tcPr>
            <w:tcW w:w="1829"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评标委员会组成</w:t>
            </w:r>
          </w:p>
        </w:tc>
        <w:tc>
          <w:tcPr>
            <w:tcW w:w="6975" w:type="dxa"/>
            <w:vAlign w:val="center"/>
          </w:tcPr>
          <w:p>
            <w:pPr>
              <w:jc w:val="left"/>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lang w:val="en-US" w:eastAsia="zh-CN"/>
              </w:rPr>
              <w:t>相关部门及项目负责人，</w:t>
            </w:r>
            <w:r>
              <w:rPr>
                <w:rFonts w:hint="eastAsia" w:ascii="黑体" w:hAnsi="黑体" w:eastAsia="黑体" w:cs="黑体"/>
                <w:bCs/>
                <w:color w:val="auto"/>
                <w:spacing w:val="8"/>
                <w:sz w:val="21"/>
                <w:szCs w:val="21"/>
                <w:highlight w:val="none"/>
              </w:rPr>
              <w:t>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20</w:t>
            </w:r>
          </w:p>
        </w:tc>
        <w:tc>
          <w:tcPr>
            <w:tcW w:w="1829"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确定</w:t>
            </w:r>
          </w:p>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中标人</w:t>
            </w:r>
          </w:p>
        </w:tc>
        <w:tc>
          <w:tcPr>
            <w:tcW w:w="6975" w:type="dxa"/>
            <w:vAlign w:val="center"/>
          </w:tcPr>
          <w:p>
            <w:pPr>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进入谈判阶段后，招标人根据投标单位的报价、商业信誉、业绩、资金实力等择优选择中标人，招标人不承诺最低价中标</w:t>
            </w:r>
            <w:r>
              <w:rPr>
                <w:rFonts w:hint="eastAsia" w:ascii="黑体" w:hAnsi="黑体" w:eastAsia="黑体" w:cs="黑体"/>
                <w:b/>
                <w:color w:val="auto"/>
                <w:kern w:val="0"/>
                <w:sz w:val="21"/>
                <w:szCs w:val="21"/>
                <w:highlight w:val="none"/>
                <w:lang w:bidi="ar"/>
              </w:rPr>
              <w:t>（中标后业主、监理、招标人对中标人进行考察）。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21</w:t>
            </w:r>
          </w:p>
        </w:tc>
        <w:tc>
          <w:tcPr>
            <w:tcW w:w="1829"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履约担保</w:t>
            </w:r>
          </w:p>
        </w:tc>
        <w:tc>
          <w:tcPr>
            <w:tcW w:w="6975" w:type="dxa"/>
            <w:vAlign w:val="center"/>
          </w:tcPr>
          <w:p>
            <w:pPr>
              <w:jc w:val="left"/>
              <w:rPr>
                <w:rFonts w:hint="eastAsia" w:ascii="黑体" w:hAnsi="黑体" w:eastAsia="黑体" w:cs="黑体"/>
                <w:bCs/>
                <w:color w:val="auto"/>
                <w:spacing w:val="8"/>
                <w:sz w:val="21"/>
                <w:szCs w:val="21"/>
                <w:highlight w:val="none"/>
              </w:rPr>
            </w:pPr>
            <w:r>
              <w:rPr>
                <w:rFonts w:hint="eastAsia" w:ascii="黑体" w:hAnsi="黑体" w:eastAsia="黑体" w:cs="黑体"/>
                <w:b/>
                <w:bCs/>
                <w:color w:val="auto"/>
                <w:spacing w:val="8"/>
                <w:sz w:val="21"/>
                <w:szCs w:val="21"/>
                <w:highlight w:val="none"/>
              </w:rPr>
              <w:t>合同额百分之十银行保函（无条件、不可撤销、见索即付）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22</w:t>
            </w:r>
          </w:p>
        </w:tc>
        <w:tc>
          <w:tcPr>
            <w:tcW w:w="1829"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中标</w:t>
            </w:r>
          </w:p>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服务费</w:t>
            </w:r>
          </w:p>
        </w:tc>
        <w:tc>
          <w:tcPr>
            <w:tcW w:w="6975" w:type="dxa"/>
            <w:vAlign w:val="center"/>
          </w:tcPr>
          <w:p>
            <w:pPr>
              <w:jc w:val="left"/>
              <w:rPr>
                <w:rFonts w:hint="eastAsia" w:ascii="黑体" w:hAnsi="黑体" w:eastAsia="黑体" w:cs="黑体"/>
                <w:bCs/>
                <w:color w:val="auto"/>
                <w:spacing w:val="8"/>
                <w:sz w:val="21"/>
                <w:szCs w:val="21"/>
                <w:highlight w:val="none"/>
                <w:lang w:eastAsia="zh-CN"/>
              </w:rPr>
            </w:pPr>
            <w:r>
              <w:rPr>
                <w:rFonts w:hint="eastAsia" w:ascii="黑体" w:hAnsi="黑体" w:eastAsia="黑体" w:cs="黑体"/>
                <w:bCs/>
                <w:color w:val="FF0000"/>
                <w:spacing w:val="8"/>
                <w:sz w:val="21"/>
                <w:szCs w:val="21"/>
                <w:highlight w:val="none"/>
                <w:lang w:val="en-US" w:eastAsia="zh-CN"/>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79"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23</w:t>
            </w:r>
          </w:p>
        </w:tc>
        <w:tc>
          <w:tcPr>
            <w:tcW w:w="1829" w:type="dxa"/>
            <w:vAlign w:val="center"/>
          </w:tcPr>
          <w:p>
            <w:pPr>
              <w:spacing w:line="276" w:lineRule="auto"/>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其他事项</w:t>
            </w:r>
          </w:p>
        </w:tc>
        <w:tc>
          <w:tcPr>
            <w:tcW w:w="6975" w:type="dxa"/>
            <w:vAlign w:val="center"/>
          </w:tcPr>
          <w:p>
            <w:pPr>
              <w:spacing w:line="276" w:lineRule="auto"/>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79"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24</w:t>
            </w:r>
          </w:p>
        </w:tc>
        <w:tc>
          <w:tcPr>
            <w:tcW w:w="1829" w:type="dxa"/>
            <w:vAlign w:val="center"/>
          </w:tcPr>
          <w:p>
            <w:pPr>
              <w:spacing w:line="276"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招标人联系方法</w:t>
            </w:r>
          </w:p>
        </w:tc>
        <w:tc>
          <w:tcPr>
            <w:tcW w:w="6975" w:type="dxa"/>
            <w:vAlign w:val="center"/>
          </w:tcPr>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176" w:firstLineChars="84"/>
              <w:jc w:val="left"/>
              <w:textAlignment w:val="auto"/>
              <w:rPr>
                <w:rFonts w:hint="eastAsia"/>
                <w:lang w:val="en-US" w:eastAsia="zh-CN"/>
              </w:rPr>
            </w:pPr>
            <w:r>
              <w:rPr>
                <w:rFonts w:hint="eastAsia"/>
                <w:lang w:val="en-US" w:eastAsia="zh-CN"/>
              </w:rPr>
              <w:t>经营部 王峤枫</w:t>
            </w:r>
            <w:r>
              <w:rPr>
                <w:rFonts w:hint="eastAsia"/>
                <w:lang w:eastAsia="zh-CN"/>
              </w:rPr>
              <w:t>（</w:t>
            </w:r>
            <w:r>
              <w:rPr>
                <w:rFonts w:hint="eastAsia"/>
                <w:lang w:val="en-US" w:eastAsia="zh-CN"/>
              </w:rPr>
              <w:t>报名</w:t>
            </w:r>
            <w:r>
              <w:rPr>
                <w:rFonts w:hint="eastAsia"/>
                <w:lang w:eastAsia="zh-CN"/>
              </w:rPr>
              <w:t>）</w:t>
            </w:r>
            <w:r>
              <w:rPr>
                <w:rFonts w:hint="eastAsia"/>
                <w:lang w:val="en-US" w:eastAsia="zh-CN"/>
              </w:rPr>
              <w:t>：18332150808</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176" w:firstLineChars="84"/>
              <w:jc w:val="left"/>
              <w:textAlignment w:val="auto"/>
              <w:rPr>
                <w:rFonts w:hint="default"/>
                <w:lang w:val="en-US" w:eastAsia="zh-CN"/>
              </w:rPr>
            </w:pPr>
            <w:r>
              <w:rPr>
                <w:rFonts w:hint="eastAsia"/>
              </w:rPr>
              <w:t>项目部</w:t>
            </w:r>
            <w:r>
              <w:rPr>
                <w:rFonts w:hint="eastAsia"/>
                <w:lang w:val="en-US" w:eastAsia="zh-CN"/>
              </w:rPr>
              <w:t>联系人</w:t>
            </w:r>
            <w:r>
              <w:rPr>
                <w:rFonts w:hint="eastAsia"/>
              </w:rPr>
              <w:t>：</w:t>
            </w:r>
            <w:r>
              <w:rPr>
                <w:rFonts w:hint="eastAsia"/>
                <w:lang w:val="en-US" w:eastAsia="zh-CN"/>
              </w:rPr>
              <w:t>赵伟佳 15303378407</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25</w:t>
            </w:r>
          </w:p>
        </w:tc>
        <w:tc>
          <w:tcPr>
            <w:tcW w:w="1829" w:type="dxa"/>
            <w:vAlign w:val="center"/>
          </w:tcPr>
          <w:p>
            <w:pPr>
              <w:tabs>
                <w:tab w:val="left" w:pos="3203"/>
                <w:tab w:val="center" w:pos="4350"/>
              </w:tabs>
              <w:spacing w:line="276" w:lineRule="auto"/>
              <w:ind w:right="31" w:rightChars="15"/>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电子商务平台技术支持联系方法</w:t>
            </w:r>
          </w:p>
        </w:tc>
        <w:tc>
          <w:tcPr>
            <w:tcW w:w="6975" w:type="dxa"/>
            <w:vAlign w:val="center"/>
          </w:tcPr>
          <w:p>
            <w:pPr>
              <w:tabs>
                <w:tab w:val="left" w:pos="3203"/>
                <w:tab w:val="center" w:pos="4350"/>
              </w:tabs>
              <w:spacing w:line="276" w:lineRule="auto"/>
              <w:ind w:right="31" w:rightChars="15"/>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招标服务平台：</w:t>
            </w:r>
            <w:ins w:id="0" w:author="游" w:date="2020-10-27T16:28:47Z">
              <w:r>
                <w:rPr>
                  <w:rFonts w:hint="eastAsia" w:ascii="黑体" w:hAnsi="黑体" w:eastAsia="黑体" w:cs="黑体"/>
                  <w:color w:val="auto"/>
                  <w:sz w:val="21"/>
                  <w:szCs w:val="21"/>
                  <w:highlight w:val="none"/>
                  <w:lang w:val="en-US" w:eastAsia="zh-CN"/>
                </w:rPr>
                <w:t>中采网</w:t>
              </w:r>
            </w:ins>
            <w:r>
              <w:rPr>
                <w:rFonts w:hint="eastAsia" w:ascii="黑体" w:hAnsi="黑体" w:eastAsia="黑体" w:cs="黑体"/>
                <w:color w:val="auto"/>
                <w:sz w:val="21"/>
                <w:szCs w:val="21"/>
                <w:highlight w:val="none"/>
              </w:rPr>
              <w:t>电子商务招标平台</w:t>
            </w:r>
          </w:p>
          <w:p>
            <w:pPr>
              <w:widowControl/>
              <w:spacing w:line="360" w:lineRule="auto"/>
              <w:jc w:val="left"/>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联</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系</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人：</w:t>
            </w:r>
            <w:r>
              <w:rPr>
                <w:rFonts w:hint="eastAsia" w:ascii="黑体" w:hAnsi="黑体" w:eastAsia="黑体" w:cs="黑体"/>
                <w:color w:val="auto"/>
                <w:sz w:val="21"/>
                <w:szCs w:val="21"/>
                <w:highlight w:val="none"/>
                <w:lang w:bidi="ar"/>
              </w:rPr>
              <w:t xml:space="preserve"> </w:t>
            </w:r>
            <w:r>
              <w:rPr>
                <w:rFonts w:hint="eastAsia" w:ascii="黑体" w:hAnsi="黑体" w:eastAsia="黑体" w:cs="黑体"/>
                <w:color w:val="auto"/>
                <w:sz w:val="21"/>
                <w:szCs w:val="21"/>
                <w:highlight w:val="none"/>
                <w:lang w:val="en-US" w:eastAsia="zh-CN" w:bidi="ar"/>
              </w:rPr>
              <w:t>罗欢，15128126431</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9" w:type="dxa"/>
            <w:vAlign w:val="center"/>
          </w:tcPr>
          <w:p>
            <w:pPr>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6</w:t>
            </w:r>
          </w:p>
        </w:tc>
        <w:tc>
          <w:tcPr>
            <w:tcW w:w="1829" w:type="dxa"/>
            <w:vAlign w:val="center"/>
          </w:tcPr>
          <w:p>
            <w:pPr>
              <w:tabs>
                <w:tab w:val="left" w:pos="3203"/>
                <w:tab w:val="center" w:pos="4350"/>
              </w:tabs>
              <w:spacing w:line="276" w:lineRule="auto"/>
              <w:ind w:right="31" w:rightChars="15"/>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招标人监督部门及联系方式</w:t>
            </w:r>
          </w:p>
        </w:tc>
        <w:tc>
          <w:tcPr>
            <w:tcW w:w="6975" w:type="dxa"/>
            <w:vAlign w:val="center"/>
          </w:tcPr>
          <w:p>
            <w:pPr>
              <w:tabs>
                <w:tab w:val="left" w:pos="3203"/>
                <w:tab w:val="center" w:pos="4350"/>
              </w:tabs>
              <w:spacing w:line="276" w:lineRule="auto"/>
              <w:ind w:right="31" w:rightChars="15"/>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招标人监督部门：河北建工集团</w:t>
            </w:r>
            <w:r>
              <w:rPr>
                <w:rFonts w:hint="eastAsia" w:ascii="黑体" w:hAnsi="黑体" w:eastAsia="黑体" w:cs="黑体"/>
                <w:color w:val="auto"/>
                <w:sz w:val="21"/>
                <w:szCs w:val="21"/>
                <w:highlight w:val="none"/>
                <w:lang w:val="en-US" w:eastAsia="zh-CN"/>
              </w:rPr>
              <w:t>建筑装饰工程</w:t>
            </w:r>
            <w:r>
              <w:rPr>
                <w:rFonts w:hint="eastAsia" w:ascii="黑体" w:hAnsi="黑体" w:eastAsia="黑体" w:cs="黑体"/>
                <w:color w:val="auto"/>
                <w:sz w:val="21"/>
                <w:szCs w:val="21"/>
                <w:highlight w:val="none"/>
              </w:rPr>
              <w:t>有限公司纪检监察部</w:t>
            </w:r>
          </w:p>
          <w:p>
            <w:pPr>
              <w:tabs>
                <w:tab w:val="left" w:pos="3203"/>
                <w:tab w:val="center" w:pos="4350"/>
              </w:tabs>
              <w:spacing w:line="276" w:lineRule="auto"/>
              <w:ind w:right="31" w:rightChars="15"/>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 w:val="21"/>
                <w:szCs w:val="21"/>
                <w:highlight w:val="none"/>
              </w:rPr>
              <w:t>联系人：</w:t>
            </w:r>
            <w:r>
              <w:rPr>
                <w:rFonts w:hint="eastAsia" w:ascii="黑体" w:hAnsi="黑体" w:eastAsia="黑体" w:cs="黑体"/>
                <w:color w:val="auto"/>
                <w:sz w:val="21"/>
                <w:szCs w:val="21"/>
                <w:highlight w:val="none"/>
                <w:lang w:val="en-US" w:eastAsia="zh-CN"/>
              </w:rPr>
              <w:t>张垚萌</w:t>
            </w:r>
            <w:r>
              <w:rPr>
                <w:rFonts w:hint="eastAsia" w:ascii="黑体" w:hAnsi="黑体" w:eastAsia="黑体" w:cs="黑体"/>
                <w:color w:val="auto"/>
                <w:sz w:val="21"/>
                <w:szCs w:val="21"/>
                <w:highlight w:val="none"/>
              </w:rPr>
              <w:t xml:space="preserve">  联系电话：</w:t>
            </w:r>
            <w:r>
              <w:rPr>
                <w:rFonts w:hint="eastAsia" w:ascii="宋体" w:hAnsi="宋体"/>
                <w:sz w:val="21"/>
                <w:szCs w:val="21"/>
                <w:highlight w:val="none"/>
              </w:rPr>
              <w:t>031167903219；</w:t>
            </w:r>
          </w:p>
        </w:tc>
      </w:tr>
    </w:tbl>
    <w:p>
      <w:pPr>
        <w:spacing w:line="400" w:lineRule="exact"/>
        <w:ind w:firstLine="500"/>
        <w:jc w:val="center"/>
        <w:rPr>
          <w:rFonts w:hint="eastAsia" w:ascii="黑体" w:hAnsi="黑体" w:eastAsia="黑体" w:cs="黑体"/>
          <w:b/>
          <w:bCs/>
          <w:color w:val="auto"/>
          <w:sz w:val="36"/>
          <w:szCs w:val="36"/>
          <w:highlight w:val="none"/>
        </w:rPr>
      </w:pPr>
      <w:r>
        <w:rPr>
          <w:rFonts w:hint="eastAsia" w:ascii="黑体" w:hAnsi="黑体" w:eastAsia="黑体" w:cs="黑体"/>
          <w:color w:val="auto"/>
          <w:highlight w:val="none"/>
        </w:rPr>
        <w:br w:type="page"/>
      </w:r>
      <w:r>
        <w:rPr>
          <w:rFonts w:hint="eastAsia" w:ascii="黑体" w:hAnsi="黑体" w:eastAsia="黑体" w:cs="黑体"/>
          <w:b/>
          <w:bCs/>
          <w:color w:val="auto"/>
          <w:sz w:val="32"/>
          <w:szCs w:val="32"/>
          <w:highlight w:val="none"/>
        </w:rPr>
        <w:t>三、投标须知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1、工程说明</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1.1本招标工程项目说明详见本须知前附表。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2、招标范围及工期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2.1本招标工程项目的招标范围</w:t>
      </w:r>
      <w:r>
        <w:rPr>
          <w:rFonts w:hint="eastAsia" w:ascii="黑体" w:hAnsi="黑体" w:eastAsia="黑体" w:cs="黑体"/>
          <w:color w:val="auto"/>
          <w:sz w:val="24"/>
          <w:szCs w:val="24"/>
          <w:highlight w:val="none"/>
          <w:lang w:eastAsia="zh-CN"/>
        </w:rPr>
        <w:t>：</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本次招标范围包括本工程设计图纸范围内的消防水、消防电、应急照明、室外消防配套管网、所有设备等（含变更、签证、洽商）全部消防专业的安装、调试及消防验收、消防工程整体报批、整体验收、消防验收涉及的所有检测等全部工作内容，具体招标范围如下：</w:t>
      </w:r>
    </w:p>
    <w:p>
      <w:pPr>
        <w:pStyle w:val="16"/>
        <w:topLinePunct/>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2.1.1消防水工程</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①包括但不限于施工图纸及初步设计图纸中表明的：分包人负责自行实施完成图纸中标明的各系统，包括但不限于气体灭火系统、消火栓系统、喷淋系统、消防预作用系统及消防联动系统、室外消防水箱间等在内的所有管道、阀部件、消防设备等供应及安装调试。(包含供货、施工、调试、验收及资料整理归档)。</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2.1.2消防电工程</w:t>
      </w:r>
    </w:p>
    <w:p>
      <w:pPr>
        <w:pStyle w:val="16"/>
        <w:topLinePunct/>
        <w:spacing w:line="400" w:lineRule="exact"/>
        <w:ind w:firstLine="480" w:firstLineChars="200"/>
        <w:rPr>
          <w:rFonts w:hint="eastAsia" w:ascii="黑体" w:hAnsi="黑体" w:eastAsia="黑体" w:cs="黑体"/>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color w:val="auto"/>
          <w:kern w:val="2"/>
          <w:sz w:val="24"/>
          <w:szCs w:val="24"/>
          <w:highlight w:val="none"/>
          <w:lang w:val="en-US" w:eastAsia="zh-CN" w:bidi="ar-SA"/>
        </w:rPr>
        <w:t>①包括但不限于桥架及配管、线缆、火灾报警系统、应急照明系统、消防广播、公共广播及消防广播系统、电气火灾监控系统、</w:t>
      </w:r>
      <w:r>
        <w:rPr>
          <w:rFonts w:hint="eastAsia" w:ascii="黑体" w:hAnsi="黑体" w:eastAsia="黑体" w:cs="黑体"/>
          <w:color w:val="000000" w:themeColor="text1"/>
          <w:kern w:val="2"/>
          <w:sz w:val="24"/>
          <w:szCs w:val="24"/>
          <w:highlight w:val="none"/>
          <w:lang w:val="en-US" w:eastAsia="zh-CN" w:bidi="ar-SA"/>
          <w14:textFill>
            <w14:solidFill>
              <w14:schemeClr w14:val="tx1"/>
            </w14:solidFill>
          </w14:textFill>
        </w:rPr>
        <w:t>消防设备电源监控系统（安装在配电箱内的消防模块由配电箱厂家供货，配电箱厂家在配电箱内安装，由消防单位统一调试）、消防控制室等设备的供货、安装、以上工程除有特  别说明外，系统所有设备的供应安装、弱电线缆（通讯线缆、控制线缆等）的敷设、弱电线缆与设备的接驳以及系统调试由分包人负责实施。包含供货、施工、调试、验收及资料整理归档。</w:t>
      </w:r>
    </w:p>
    <w:p>
      <w:pPr>
        <w:pStyle w:val="16"/>
        <w:topLinePunct/>
        <w:spacing w:line="400" w:lineRule="exact"/>
        <w:ind w:firstLine="480" w:firstLineChars="200"/>
        <w:rPr>
          <w:rFonts w:hint="default"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②根据图纸及规范要求。分包人须根据发包方要求、施工场地现状、施工图及规范的要求进行图纸审核，发现问题经原建设单位、设计单位批准同意后实施。</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③室内工程中，除有特别说明外，系统所有设备的供应安装、弱电线缆（通讯线缆、控制线缆等）的敷设、弱电线缆与设备的接驳以及系统调试由分包人负责实施。</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④包括但不限于以下所有消防设施系统与本项目火灾自动报警及消防控制系统之间的通讯和联动控制，由相应的施工单位提供设备联动接口，由分包人负责联动控制线缆的敷设、接线、调试、试运行：</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由本项目承包人或其他专业分包单位施工的消防设施系统（灭火系统、消火栓系统、喷淋系统、桥架及配管、线缆、火灾报警系统、消防广播、电气火灾监控系统、消防设备电源监控系统、通风空调系统、应急照明系统等与消防联动相关的系统、室外消防水箱间等施工图纸及初步设计图纸内的全部内容）；</w:t>
      </w:r>
    </w:p>
    <w:p>
      <w:pPr>
        <w:pStyle w:val="16"/>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⑤竣工调试验收：工程完工后积极组织验收、调试、消电检工作。并配合业主完善一切相关手续。</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2.2本招标工程项目的工期要求详见本须知前附表。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3、质量要求：满足图纸设计和使用要求，符合国家现行验收规范。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4、技术要求及相关规范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4.1本</w:t>
      </w:r>
      <w:r>
        <w:rPr>
          <w:rFonts w:hint="eastAsia" w:ascii="黑体" w:hAnsi="黑体" w:eastAsia="黑体" w:cs="黑体"/>
          <w:color w:val="auto"/>
          <w:sz w:val="24"/>
          <w:szCs w:val="24"/>
          <w:highlight w:val="none"/>
          <w:lang w:val="en-US" w:eastAsia="zh-CN"/>
        </w:rPr>
        <w:t>工程施工应满足设计要求并符合如下但不限于国家、地方以及有关部门的设计规范、标准、技术资料：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w:t>
      </w:r>
      <w:r>
        <w:rPr>
          <w:rFonts w:hint="eastAsia" w:ascii="黑体" w:hAnsi="黑体" w:eastAsia="黑体" w:cs="黑体"/>
          <w:color w:val="auto"/>
          <w:sz w:val="24"/>
          <w:szCs w:val="24"/>
          <w:highlight w:val="none"/>
          <w:lang w:eastAsia="zh-CN"/>
        </w:rPr>
        <w:t>消防工程</w:t>
      </w:r>
      <w:r>
        <w:rPr>
          <w:rFonts w:hint="eastAsia" w:ascii="黑体" w:hAnsi="黑体" w:eastAsia="黑体" w:cs="黑体"/>
          <w:color w:val="auto"/>
          <w:sz w:val="24"/>
          <w:szCs w:val="24"/>
          <w:highlight w:val="none"/>
        </w:rPr>
        <w:t>施工应严格遵循本项目的</w:t>
      </w:r>
      <w:r>
        <w:rPr>
          <w:rFonts w:hint="eastAsia" w:ascii="黑体" w:hAnsi="黑体" w:eastAsia="黑体" w:cs="黑体"/>
          <w:color w:val="auto"/>
          <w:sz w:val="24"/>
          <w:szCs w:val="24"/>
          <w:highlight w:val="none"/>
          <w:lang w:eastAsia="zh-CN"/>
        </w:rPr>
        <w:t>消防工程</w:t>
      </w:r>
      <w:r>
        <w:rPr>
          <w:rFonts w:hint="eastAsia" w:ascii="黑体" w:hAnsi="黑体" w:eastAsia="黑体" w:cs="黑体"/>
          <w:color w:val="auto"/>
          <w:sz w:val="24"/>
          <w:szCs w:val="24"/>
          <w:highlight w:val="none"/>
        </w:rPr>
        <w:t>施工图纸，且符合国家、地区的相应规范要求。</w:t>
      </w:r>
      <w:r>
        <w:rPr>
          <w:rFonts w:hint="eastAsia" w:ascii="黑体" w:hAnsi="黑体" w:eastAsia="黑体" w:cs="黑体"/>
          <w:color w:val="auto"/>
          <w:sz w:val="24"/>
          <w:szCs w:val="24"/>
          <w:highlight w:val="none"/>
          <w:lang w:eastAsia="zh-CN"/>
        </w:rPr>
        <w:t>消防工程</w:t>
      </w:r>
      <w:r>
        <w:rPr>
          <w:rFonts w:hint="eastAsia" w:ascii="黑体" w:hAnsi="黑体" w:eastAsia="黑体" w:cs="黑体"/>
          <w:color w:val="auto"/>
          <w:sz w:val="24"/>
          <w:szCs w:val="24"/>
          <w:highlight w:val="none"/>
        </w:rPr>
        <w:t>除图纸说明外，凡无注明要求，均按下列规范与技术规程要求施工：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消防设施通用规范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GB55036-2022;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建筑防火通用规范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GB55037-2022;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《消防给水及消火栓系统技术规范》15S909</w:t>
      </w:r>
      <w:r>
        <w:rPr>
          <w:rFonts w:hint="eastAsia" w:ascii="黑体" w:hAnsi="黑体" w:eastAsia="黑体" w:cs="黑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火灾自动报警系统施工及验收规范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GB50166-2007;</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火灾自动报警系统设计规范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GB50166-2013等有关规范。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《建筑消防设施检测评定规程》DB11/1354-2016</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《火灾自动报警系统设计规范》（GB50116-</w:t>
      </w:r>
      <w:r>
        <w:rPr>
          <w:rFonts w:hint="eastAsia" w:ascii="黑体" w:hAnsi="黑体" w:eastAsia="黑体" w:cs="黑体"/>
          <w:color w:val="auto"/>
          <w:sz w:val="24"/>
          <w:szCs w:val="24"/>
          <w:highlight w:val="none"/>
          <w:lang w:val="en-US" w:eastAsia="zh-CN"/>
        </w:rPr>
        <w:t>2018</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《火灾自动报警系统施工及验收规范》（GB50166-</w:t>
      </w:r>
      <w:r>
        <w:rPr>
          <w:rFonts w:hint="eastAsia" w:ascii="黑体" w:hAnsi="黑体" w:eastAsia="黑体" w:cs="黑体"/>
          <w:color w:val="auto"/>
          <w:sz w:val="24"/>
          <w:szCs w:val="24"/>
          <w:highlight w:val="none"/>
          <w:lang w:val="en-US" w:eastAsia="zh-CN"/>
        </w:rPr>
        <w:t>2007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《电气装置安装工程施工及验收规范》（GB11232-</w:t>
      </w:r>
      <w:r>
        <w:rPr>
          <w:rFonts w:hint="eastAsia" w:ascii="黑体" w:hAnsi="黑体" w:eastAsia="黑体" w:cs="黑体"/>
          <w:color w:val="auto"/>
          <w:sz w:val="24"/>
          <w:szCs w:val="24"/>
          <w:highlight w:val="none"/>
          <w:lang w:val="en-US" w:eastAsia="zh-CN"/>
        </w:rPr>
        <w:t>2016</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《火灾报警探测器通用技术条件》（GB4717-</w:t>
      </w:r>
      <w:r>
        <w:rPr>
          <w:rFonts w:hint="eastAsia" w:ascii="黑体" w:hAnsi="黑体" w:eastAsia="黑体" w:cs="黑体"/>
          <w:color w:val="auto"/>
          <w:sz w:val="24"/>
          <w:szCs w:val="24"/>
          <w:highlight w:val="none"/>
          <w:lang w:val="en-US" w:eastAsia="zh-CN"/>
        </w:rPr>
        <w:t>2005</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《消防联动控制设备通用技术条件》（GB16806-</w:t>
      </w:r>
      <w:r>
        <w:rPr>
          <w:rFonts w:hint="eastAsia" w:ascii="黑体" w:hAnsi="黑体" w:eastAsia="黑体" w:cs="黑体"/>
          <w:color w:val="auto"/>
          <w:sz w:val="24"/>
          <w:szCs w:val="24"/>
          <w:highlight w:val="none"/>
          <w:lang w:val="en-US" w:eastAsia="zh-CN"/>
        </w:rPr>
        <w:t>2006</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《电子计算机机房设计规范》（GB50174-</w:t>
      </w:r>
      <w:r>
        <w:rPr>
          <w:rFonts w:hint="eastAsia" w:ascii="黑体" w:hAnsi="黑体" w:eastAsia="黑体" w:cs="黑体"/>
          <w:color w:val="auto"/>
          <w:sz w:val="24"/>
          <w:szCs w:val="24"/>
          <w:highlight w:val="none"/>
          <w:lang w:val="en-US" w:eastAsia="zh-CN"/>
        </w:rPr>
        <w:t>2017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《工业控制用软件评定准则》（GB/T13423-1992）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《建筑设计防火规范》（GBJ</w:t>
      </w:r>
      <w:r>
        <w:rPr>
          <w:rFonts w:hint="eastAsia" w:ascii="黑体" w:hAnsi="黑体" w:eastAsia="黑体" w:cs="黑体"/>
          <w:color w:val="auto"/>
          <w:sz w:val="24"/>
          <w:szCs w:val="24"/>
          <w:highlight w:val="none"/>
          <w:lang w:val="en-US" w:eastAsia="zh-CN"/>
        </w:rPr>
        <w:t>50016-2014</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建筑物电子信息系统防雷接地规范</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（GB50343-20</w:t>
      </w: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《自动喷水灭火系统设计规范》（GB50084-20</w:t>
      </w: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《自动喷水灭火系统施工及验收规范》（GB50261-</w:t>
      </w:r>
      <w:r>
        <w:rPr>
          <w:rFonts w:hint="eastAsia" w:ascii="黑体" w:hAnsi="黑体" w:eastAsia="黑体" w:cs="黑体"/>
          <w:color w:val="auto"/>
          <w:sz w:val="24"/>
          <w:szCs w:val="24"/>
          <w:highlight w:val="none"/>
          <w:lang w:val="en-US" w:eastAsia="zh-CN"/>
        </w:rPr>
        <w:t>2017</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《建筑灭火器配置设计规范》（GBJ140-90）</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《给水排水管道工程施工及验收规范》（GB50268-</w:t>
      </w:r>
      <w:r>
        <w:rPr>
          <w:rFonts w:hint="eastAsia" w:ascii="黑体" w:hAnsi="黑体" w:eastAsia="黑体" w:cs="黑体"/>
          <w:color w:val="auto"/>
          <w:sz w:val="24"/>
          <w:szCs w:val="24"/>
          <w:highlight w:val="none"/>
          <w:lang w:val="en-US" w:eastAsia="zh-CN"/>
        </w:rPr>
        <w:t>2008</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《建筑给水排水及采暖工程施工质量验收规范》（GB50242-2002）</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《现场设备、工业管道焊接工程施工及验收规范》（GB50236-98）</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《机械设备安装工程施工及验收规范》（GB50231-</w:t>
      </w:r>
      <w:r>
        <w:rPr>
          <w:rFonts w:hint="eastAsia" w:ascii="黑体" w:hAnsi="黑体" w:eastAsia="黑体" w:cs="黑体"/>
          <w:color w:val="auto"/>
          <w:sz w:val="24"/>
          <w:szCs w:val="24"/>
          <w:highlight w:val="none"/>
          <w:lang w:val="en-US" w:eastAsia="zh-CN"/>
        </w:rPr>
        <w:t>2009</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《气体灭火系统施工及验收规范》（GB50263-2007）</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施工及验收</w:t>
      </w:r>
      <w:r>
        <w:rPr>
          <w:rFonts w:hint="eastAsia" w:ascii="黑体" w:hAnsi="黑体" w:eastAsia="黑体" w:cs="黑体"/>
          <w:color w:val="auto"/>
          <w:sz w:val="24"/>
          <w:szCs w:val="24"/>
          <w:highlight w:val="none"/>
          <w:lang w:val="en-US" w:eastAsia="zh-CN"/>
        </w:rPr>
        <w:t>管理</w:t>
      </w:r>
      <w:r>
        <w:rPr>
          <w:rFonts w:hint="eastAsia" w:ascii="黑体" w:hAnsi="黑体" w:eastAsia="黑体" w:cs="黑体"/>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施工由中标人编制合理有效的施工组织设计，并经施工、监理单位审核通过后实施。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.2中标人施工时必须配备训练有素的技术人员进行施工。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施工必须按照国家技术规程及地方标准施工。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4中标人应对自身产品进行必要和足够的保护，并及时以书面形式通知招标人和监理，寻求配合和监督。如因保护不当而造成的成品、半成品损坏，由中标人自行承担，招标人不支持中标人的任何索赔。因招标方管理和施工原因造成中标人产品的损坏，招标方应予以赔偿，具体额度由双方友好协商，协商不成时由招标人和监理确定，该款项应在中标人当期进度款报批前予以支付。</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5因中标人原因造成返工时，应注意对招标方及其它已完工产品的保护，如造成招标方及其它产品的损坏，中标人应予赔偿，具体额度由双方友好协商，协商不成时由招标人和监理确定，中标人不得以任何理由影响工程进度及后期的配合。该款项应在中标人当期进度款报批前予以支付，无支付凭证，招标人有权不进行进度款审批程序。若对招标人和监理的决定有异议的，可保留必要的原始记录，在竣工验收后通过合法途径解决。</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6中标人在完成合同约定的工作内容，并自检合格，经招标人复查同意，并在相关部门共同参加下完成了实体功能检测，达到设计和规范要求，可申请工程验收。招标人按国家和行业现行规范标准、地方规定、工程验收程序组织验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4.3.7招标人整体工程通过竣工验收合格之日为本工程实际竣工日期。</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5、健康、安全和环保施工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投标人（即投标中标人）在施工过程中应严格执行国家、地方的相关标准和规定，还要符合发包人（即招标人）《质量、环境、职业健康安全管理体系》提出的要求。发包人在履行安全文明、环保检查时，如发现投标人有不符合标准、规定的行为或违章操作，将视情节轻重，按照有关文件、现场的规章制度等规定，对投标人进行警告和罚款。三次警告后或投标人无理取闹、扰乱施工现场投标人有权终止合同，投标人承担因此对招标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5.2材料供应方式与管理：所有材料由投标人自行供应及管理，</w:t>
      </w:r>
      <w:r>
        <w:rPr>
          <w:rFonts w:hint="eastAsia" w:ascii="黑体" w:hAnsi="黑体" w:eastAsia="黑体" w:cs="黑体"/>
          <w:color w:val="auto"/>
          <w:sz w:val="24"/>
          <w:szCs w:val="24"/>
          <w:highlight w:val="none"/>
          <w:lang w:val="en-US" w:eastAsia="zh-CN"/>
        </w:rPr>
        <w:t>设备必须为国内外知名品牌，</w:t>
      </w:r>
      <w:r>
        <w:rPr>
          <w:rFonts w:hint="eastAsia" w:ascii="黑体" w:hAnsi="黑体" w:eastAsia="黑体" w:cs="黑体"/>
          <w:color w:val="auto"/>
          <w:sz w:val="24"/>
          <w:szCs w:val="24"/>
          <w:highlight w:val="none"/>
        </w:rPr>
        <w:t>且必须服从招标人项目部管理规定。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6、发标及踏勘现场</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6.1招标人不统一组织踏勘现场，投标人可自行到施工现场进行踏勘，以便投标人获取有关编制投标文件和签署合同所涉及现场的资料。投标人承担踏勘现场所发生的自身费用。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6.2招标人向投标人提供的有关现场的数据和资料，是招标人现有的能被投标人利用的资料，招标人对投标人做出的任何推论、理解和结论均不负责任。</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6.3经招标人允许，投标人方可为踏勘目的而进入招标人的项目施工现场，但投标人不得因此使招标人承担有关责任和蒙受损失。投标人应承担踏勘现场的责任和风险。</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7、投标费用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 报名费：投标人应承担其参加本招标活动自身所发生的费用。招标人不对投标人投标费用的增加负任何责任，投标人自愿承担一切费用。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（二）招标文件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8、招标文件的组成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（1）投标须知及投标须知前附表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（2）评标办法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（3）投标文件格式（投标函部分）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（4）投标文件格式（商务部分及技术部分）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9、招标文件的澄清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 投标人若对招标文件有疑问，应于投标截止日期 2 日前以书面形式向招标人提出澄清要求。澄清要求应送至招标人。无论是招标人根据需要主动对招标文件进行必要的澄清，或是根据投标人的要求对招标文件做出澄清，招标人都将于投标截止时间 2日前以书面形式予以澄清，投标人在收到该澄清文件后应在24小时内以书面形式给予确认。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10、招标文件的修改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 招标文件发出后，在投标截止时间 3 日前，招标人可对招标文件进行必要的澄清或修改。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10.2 招标文件的修改意见将发送给所有投标人，投标人应于收到该修改文件后24小时内以书面形式给予确认。招标文件的修改内容作为招标文件的组成部分，具有约束作用。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10.3 招标文件的澄清、修改、补充等内容均以书面形式明确的内容为准。当招标文件、招标文件的澄清、修改、补充等在同一内容的表述上不一致时，以最后发出的书面文件为准。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 为使投标人在编制投标文件时有充分的时间对招标文件的澄清、修改、补充等内容进行研究，招标人可酌情延长提交投标文件的截止时间，具体时间将在招标文件的修改、补充通知中予以明确。</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11、投标文件的语言及度量衡单位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投标文件和与投标有关的所有文件均应使用中文。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 除工程规范另有规定外，投标文件使用的度量衡单位，均采用中华人民共和国法定计量单位。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 投标文件由投标函部分、商务部分、技术部分组成。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 投标函部分主要包括下列内容：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 xml:space="preserve">.2.1投标函；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.2.2法定代表人身份证明文件；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.2.3法定代表人授权委托书（谈判阶段的投标单位出示原件）；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.2.4投标保证金缴纳证明复印件；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.2.5营业执照、资质证书、安全生产许可证副本等相关证件复印件</w:t>
      </w:r>
      <w:r>
        <w:rPr>
          <w:rFonts w:hint="eastAsia" w:ascii="黑体" w:hAnsi="黑体" w:eastAsia="黑体" w:cs="黑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.2.6投标人业绩表及同类业绩合同复印件</w:t>
      </w:r>
      <w:r>
        <w:rPr>
          <w:rFonts w:hint="eastAsia" w:ascii="黑体" w:hAnsi="黑体" w:eastAsia="黑体" w:cs="黑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.3 商务部分主要包括下列内容：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.3.1封面；</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.3.2工程项目报价表；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.4 技术部分主要包括下列内容：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.4.1施工组织设计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.4.2组织机构人员表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 投标报价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.1 除本工程的投标报价采用投标须知前附表所规定的方式外，投标人的投标报价应是完成本须知和合同条款上所列招标工程范围及工期的全部，投标报价时按照网上竞价规则进行报价。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.2本工程所需的所有材料、设备投标人应</w:t>
      </w:r>
      <w:r>
        <w:rPr>
          <w:rFonts w:hint="eastAsia" w:ascii="黑体" w:hAnsi="黑体" w:eastAsia="黑体" w:cs="黑体"/>
          <w:color w:val="auto"/>
          <w:sz w:val="21"/>
          <w:szCs w:val="21"/>
          <w:highlight w:val="none"/>
          <w:lang w:eastAsia="zh-CN"/>
        </w:rPr>
        <w:t>在招标人给定的品牌内</w:t>
      </w:r>
      <w:r>
        <w:rPr>
          <w:rFonts w:hint="eastAsia" w:ascii="黑体" w:hAnsi="黑体" w:eastAsia="黑体" w:cs="黑体"/>
          <w:color w:val="auto"/>
          <w:sz w:val="21"/>
          <w:szCs w:val="21"/>
          <w:highlight w:val="none"/>
        </w:rPr>
        <w:t>选用</w:t>
      </w:r>
      <w:r>
        <w:rPr>
          <w:rFonts w:hint="eastAsia" w:ascii="黑体" w:hAnsi="黑体" w:eastAsia="黑体" w:cs="黑体"/>
          <w:color w:val="auto"/>
          <w:sz w:val="21"/>
          <w:szCs w:val="21"/>
          <w:highlight w:val="none"/>
          <w:lang w:eastAsia="zh-CN"/>
        </w:rPr>
        <w:t>，如给定品牌产品没有涵盖，应选用</w:t>
      </w:r>
      <w:r>
        <w:rPr>
          <w:rFonts w:hint="eastAsia" w:ascii="黑体" w:hAnsi="黑体" w:eastAsia="黑体" w:cs="黑体"/>
          <w:color w:val="auto"/>
          <w:sz w:val="21"/>
          <w:szCs w:val="21"/>
          <w:highlight w:val="none"/>
          <w:lang w:val="en-US" w:eastAsia="zh-CN"/>
        </w:rPr>
        <w:t>业主单位认可的</w:t>
      </w:r>
      <w:r>
        <w:rPr>
          <w:rFonts w:hint="eastAsia" w:ascii="黑体" w:hAnsi="黑体" w:eastAsia="黑体" w:cs="黑体"/>
          <w:color w:val="auto"/>
          <w:sz w:val="21"/>
          <w:szCs w:val="21"/>
          <w:highlight w:val="none"/>
          <w:lang w:eastAsia="zh-CN"/>
        </w:rPr>
        <w:t>同档次</w:t>
      </w:r>
      <w:r>
        <w:rPr>
          <w:rFonts w:hint="eastAsia" w:ascii="黑体" w:hAnsi="黑体" w:eastAsia="黑体" w:cs="黑体"/>
          <w:color w:val="auto"/>
          <w:sz w:val="21"/>
          <w:szCs w:val="21"/>
          <w:highlight w:val="none"/>
        </w:rPr>
        <w:t>国内</w:t>
      </w:r>
      <w:r>
        <w:rPr>
          <w:rFonts w:hint="eastAsia" w:ascii="黑体" w:hAnsi="黑体" w:eastAsia="黑体" w:cs="黑体"/>
          <w:color w:val="auto"/>
          <w:sz w:val="21"/>
          <w:szCs w:val="21"/>
          <w:highlight w:val="none"/>
          <w:lang w:val="en-US" w:eastAsia="zh-CN"/>
        </w:rPr>
        <w:t>外知名品牌</w:t>
      </w:r>
      <w:r>
        <w:rPr>
          <w:rFonts w:hint="eastAsia" w:ascii="黑体" w:hAnsi="黑体" w:eastAsia="黑体" w:cs="黑体"/>
          <w:color w:val="auto"/>
          <w:sz w:val="21"/>
          <w:szCs w:val="21"/>
          <w:highlight w:val="none"/>
        </w:rPr>
        <w:t>产品，招标人有权在工程实施过程中对所有材料进场前进行质量认定</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lang w:val="en-US" w:eastAsia="zh-CN"/>
        </w:rPr>
        <w:t>招标人有权统一品牌</w:t>
      </w:r>
      <w:r>
        <w:rPr>
          <w:rFonts w:hint="eastAsia" w:ascii="黑体" w:hAnsi="黑体" w:eastAsia="黑体" w:cs="黑体"/>
          <w:color w:val="auto"/>
          <w:sz w:val="21"/>
          <w:szCs w:val="21"/>
          <w:highlight w:val="none"/>
        </w:rPr>
        <w:t>。对不符合质量要求的材料，招标人有权拒绝用于本工程。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.3投标报价由投标人按照图纸和招标文件的要求，结合施工现场实际情况以及自身技术水平、管理水平、加工能力、经营状况、机械配备和制定的施工组织设计，自主报价。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.4投标报价所包含的内容明确如下：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（1）承包范围内所有涉及</w:t>
      </w:r>
      <w:r>
        <w:rPr>
          <w:rFonts w:hint="eastAsia" w:ascii="黑体" w:hAnsi="黑体" w:eastAsia="黑体" w:cs="黑体"/>
          <w:color w:val="auto"/>
          <w:sz w:val="21"/>
          <w:szCs w:val="21"/>
          <w:highlight w:val="none"/>
          <w:lang w:eastAsia="zh-CN"/>
        </w:rPr>
        <w:t>消防工程</w:t>
      </w:r>
      <w:r>
        <w:rPr>
          <w:rFonts w:hint="eastAsia" w:ascii="黑体" w:hAnsi="黑体" w:eastAsia="黑体" w:cs="黑体"/>
          <w:color w:val="auto"/>
          <w:sz w:val="21"/>
          <w:szCs w:val="21"/>
          <w:highlight w:val="none"/>
        </w:rPr>
        <w:t>的施工、调试、保证本工程所有涉及</w:t>
      </w:r>
      <w:r>
        <w:rPr>
          <w:rFonts w:hint="eastAsia" w:ascii="黑体" w:hAnsi="黑体" w:eastAsia="黑体" w:cs="黑体"/>
          <w:color w:val="auto"/>
          <w:sz w:val="21"/>
          <w:szCs w:val="21"/>
          <w:highlight w:val="none"/>
          <w:lang w:val="en-US" w:eastAsia="zh-CN"/>
        </w:rPr>
        <w:t>第三方检测</w:t>
      </w:r>
      <w:r>
        <w:rPr>
          <w:rFonts w:hint="eastAsia" w:ascii="黑体" w:hAnsi="黑体" w:eastAsia="黑体" w:cs="黑体"/>
          <w:color w:val="auto"/>
          <w:sz w:val="21"/>
          <w:szCs w:val="21"/>
          <w:highlight w:val="none"/>
        </w:rPr>
        <w:t>的验收</w:t>
      </w:r>
      <w:r>
        <w:rPr>
          <w:rFonts w:hint="eastAsia" w:ascii="黑体" w:hAnsi="黑体" w:eastAsia="黑体" w:cs="黑体"/>
          <w:color w:val="auto"/>
          <w:sz w:val="21"/>
          <w:szCs w:val="21"/>
          <w:highlight w:val="none"/>
          <w:lang w:val="en-US" w:eastAsia="zh-CN"/>
        </w:rPr>
        <w:t>通过</w:t>
      </w:r>
      <w:r>
        <w:rPr>
          <w:rFonts w:hint="eastAsia" w:ascii="黑体" w:hAnsi="黑体" w:eastAsia="黑体" w:cs="黑体"/>
          <w:color w:val="auto"/>
          <w:sz w:val="21"/>
          <w:szCs w:val="21"/>
          <w:highlight w:val="none"/>
        </w:rPr>
        <w:t>、保修等图纸包括的全部工作内容。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（2）承包范围内所需要的主材费、</w:t>
      </w:r>
      <w:r>
        <w:rPr>
          <w:rFonts w:hint="eastAsia" w:ascii="黑体" w:hAnsi="黑体" w:eastAsia="黑体" w:cs="黑体"/>
          <w:color w:val="auto"/>
          <w:sz w:val="21"/>
          <w:szCs w:val="21"/>
          <w:highlight w:val="none"/>
          <w:lang w:val="en-US" w:eastAsia="zh-CN"/>
        </w:rPr>
        <w:t>设备费、</w:t>
      </w:r>
      <w:r>
        <w:rPr>
          <w:rFonts w:hint="eastAsia" w:ascii="黑体" w:hAnsi="黑体" w:eastAsia="黑体" w:cs="黑体"/>
          <w:color w:val="auto"/>
          <w:sz w:val="21"/>
          <w:szCs w:val="21"/>
          <w:highlight w:val="none"/>
        </w:rPr>
        <w:t>一切辅助材料费、人工费、机械费、措施费及应计取的费用；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（3）企业管理费、利润、风险、税金（增值税）及各种规费；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（4）特殊工程的配合及同一作业面施工相互影响（人、材、机）降效的费用；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（5）安全文明及环保施工费用；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（6）自然气候、扬尘治理、国家性重大会议影响造成停、窝工的费用；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（7）专项方案以及竣工资料的编制、整理、报验；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（8）临电内容：</w:t>
      </w: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 1 \* GB3 </w:instrText>
      </w:r>
      <w:r>
        <w:rPr>
          <w:rFonts w:hint="eastAsia" w:ascii="黑体" w:hAnsi="黑体" w:eastAsia="黑体" w:cs="黑体"/>
          <w:color w:val="auto"/>
          <w:sz w:val="21"/>
          <w:szCs w:val="21"/>
          <w:highlight w:val="none"/>
        </w:rPr>
        <w:fldChar w:fldCharType="separate"/>
      </w:r>
      <w:r>
        <w:rPr>
          <w:rFonts w:hint="eastAsia" w:ascii="黑体" w:hAnsi="黑体" w:eastAsia="黑体" w:cs="黑体"/>
          <w:color w:val="auto"/>
          <w:sz w:val="21"/>
          <w:szCs w:val="21"/>
          <w:highlight w:val="none"/>
        </w:rPr>
        <w:t>①</w:t>
      </w:r>
      <w:r>
        <w:rPr>
          <w:rFonts w:hint="eastAsia" w:ascii="黑体" w:hAnsi="黑体" w:eastAsia="黑体" w:cs="黑体"/>
          <w:color w:val="auto"/>
          <w:sz w:val="21"/>
          <w:szCs w:val="21"/>
          <w:highlight w:val="none"/>
        </w:rPr>
        <w:fldChar w:fldCharType="end"/>
      </w:r>
      <w:r>
        <w:rPr>
          <w:rFonts w:hint="eastAsia" w:ascii="黑体" w:hAnsi="黑体" w:eastAsia="黑体" w:cs="黑体"/>
          <w:color w:val="auto"/>
          <w:sz w:val="21"/>
          <w:szCs w:val="21"/>
          <w:highlight w:val="none"/>
        </w:rPr>
        <w:t xml:space="preserve">二级以下（不含二级）配电箱、电线、电缆的敷设 </w:t>
      </w: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 2 \* GB3 </w:instrText>
      </w:r>
      <w:r>
        <w:rPr>
          <w:rFonts w:hint="eastAsia" w:ascii="黑体" w:hAnsi="黑体" w:eastAsia="黑体" w:cs="黑体"/>
          <w:color w:val="auto"/>
          <w:sz w:val="21"/>
          <w:szCs w:val="21"/>
          <w:highlight w:val="none"/>
        </w:rPr>
        <w:fldChar w:fldCharType="separate"/>
      </w:r>
      <w:r>
        <w:rPr>
          <w:rFonts w:hint="eastAsia" w:ascii="黑体" w:hAnsi="黑体" w:eastAsia="黑体" w:cs="黑体"/>
          <w:color w:val="auto"/>
          <w:sz w:val="21"/>
          <w:szCs w:val="21"/>
          <w:highlight w:val="none"/>
        </w:rPr>
        <w:t>②</w:t>
      </w:r>
      <w:r>
        <w:rPr>
          <w:rFonts w:hint="eastAsia" w:ascii="黑体" w:hAnsi="黑体" w:eastAsia="黑体" w:cs="黑体"/>
          <w:color w:val="auto"/>
          <w:sz w:val="21"/>
          <w:szCs w:val="21"/>
          <w:highlight w:val="none"/>
        </w:rPr>
        <w:fldChar w:fldCharType="end"/>
      </w:r>
      <w:r>
        <w:rPr>
          <w:rFonts w:hint="eastAsia" w:ascii="黑体" w:hAnsi="黑体" w:eastAsia="黑体" w:cs="黑体"/>
          <w:color w:val="auto"/>
          <w:sz w:val="21"/>
          <w:szCs w:val="21"/>
          <w:highlight w:val="none"/>
        </w:rPr>
        <w:t>移动照明的灯架、灯管、灯泡等材料及安装维护；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（9）装卸车：充分考虑现场实际情况，负责所需的材料、周转工具的进退场、装卸车，场内倒运、分类定点码放及挂牌标示，码放整齐，达到河北建工集团标准化的要求；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（10）投标人职工安全防护用品均自备，具体包括：安全帽（由招标人统一配发，费用由投标人承担）、安全带、绝缘手套、绝缘鞋、口罩等；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（11）不可避免的工程间隙时间；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（12）投标人统一着装（工装由招标人统一配发，费用由投标人承担)；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相关风险投标人应在投标报价中予以考虑，风险包括不限于：成品保护、大型机械进出场、非重大施工条件的变化引起的如停工、扰民及民扰，材料二次搬运、合理的材料价格波动范围内造成的工程费用的增加等。这些风险因素已经包括在合同价款中。</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、投标货币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.1 本工程投标报价采用的币种为人民币。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.1 投标有效期见投标人须知前附表所规定的期限，在此期限内，凡符合本招标文件要求的投标文件均保持有效。</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.1 投标人应在提交投标文件的同时，按有关规定提交本须知前附表所规定数额的投标保证金，并作为其投标文件的一部分。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.2投标人应按投标须知前附表中要求提交投标保证金。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.3 对于未能按要求提交投标保证金的投标，招标人将视为不响应招标文件而予以拒绝。</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.4投标保证金的退还</w:t>
      </w:r>
      <w:r>
        <w:rPr>
          <w:rFonts w:hint="eastAsia" w:ascii="黑体" w:hAnsi="黑体" w:eastAsia="黑体" w:cs="黑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招标人与中标人签订合同后5日内，向中标及未中标的投标人退还投标保证金。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.5 如投标人发生下列情况之一时，投标保证金将被没收：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.5.1中标人未能在规定期限内签订合同协议或提交履约保证金。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.5.2投标人在投标有效期撤回投标文件。</w:t>
      </w:r>
    </w:p>
    <w:p>
      <w:pPr>
        <w:pStyle w:val="2"/>
        <w:ind w:firstLine="480" w:firstLineChars="200"/>
        <w:rPr>
          <w:rFonts w:hint="eastAsia" w:ascii="黑体" w:hAnsi="黑体" w:eastAsia="黑体" w:cs="黑体"/>
          <w:color w:val="auto"/>
          <w:highlight w:val="none"/>
        </w:rPr>
      </w:pPr>
      <w:r>
        <w:rPr>
          <w:rFonts w:hint="eastAsia" w:ascii="黑体" w:hAnsi="黑体" w:eastAsia="黑体" w:cs="黑体"/>
          <w:color w:val="auto"/>
          <w:sz w:val="24"/>
          <w:szCs w:val="24"/>
          <w:highlight w:val="none"/>
          <w:lang w:val="en-US" w:eastAsia="zh-CN"/>
        </w:rPr>
        <w:t>16.5.3投标单位被判定为恶意竞标；发生围标、串标等违规行为的。</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(五) 开  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.1 招标人按投标人须知前附表所规定的时间和方式开标，所有投标人应准备充分并参加。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.2 开标程序：</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.2.1网上竞价阶段：</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经过中采网注册并按要求缴纳投标保证金。网上竞价阶段按照给出的格式填写报价，电子招标系统将根据网上竞价规则自动进行高位淘汰程序。技术部分无需上传。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.2.2洽商谈判阶段:</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进入谈判阶段的投标单位需提供一份装订好的纸质版投标文件（商务标及技术标一式两份，正本及副本）。谈判阶段的投标文件需打印或使用不褪色的蓝、黑墨水笔书写，字迹应清晰易于辨认。投标文件封面或扉页均应加盖投标人印章，并经法定代表人或其委托代理人签字或盖章，投标文件由委托代理人签字或盖章的，需同时提交投标文件授权委托书。全套投标文件应无涂改或行间插字和增删。如有修改，修改处应由投标人加盖投标人的印章或由委托代理人签字或盖章。投标报价需与最终的网上竞价一致。</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 评  标</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18</w:t>
      </w:r>
      <w:r>
        <w:rPr>
          <w:rFonts w:hint="eastAsia" w:ascii="黑体" w:hAnsi="黑体" w:eastAsia="黑体" w:cs="黑体"/>
          <w:color w:val="auto"/>
          <w:sz w:val="24"/>
          <w:szCs w:val="24"/>
          <w:highlight w:val="none"/>
        </w:rPr>
        <w:t>、评标</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18</w:t>
      </w:r>
      <w:r>
        <w:rPr>
          <w:rFonts w:hint="eastAsia" w:ascii="黑体" w:hAnsi="黑体" w:eastAsia="黑体" w:cs="黑体"/>
          <w:color w:val="auto"/>
          <w:sz w:val="24"/>
          <w:szCs w:val="24"/>
          <w:highlight w:val="none"/>
        </w:rPr>
        <w:t>.1评标的依据</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招标文件和投标文件。</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18</w:t>
      </w:r>
      <w:r>
        <w:rPr>
          <w:rFonts w:hint="eastAsia" w:ascii="黑体" w:hAnsi="黑体" w:eastAsia="黑体" w:cs="黑体"/>
          <w:color w:val="auto"/>
          <w:sz w:val="24"/>
          <w:szCs w:val="24"/>
          <w:highlight w:val="none"/>
        </w:rPr>
        <w:t>.2评标原则</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评标将公平、公正，科学合理的原则进行评标工作。</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18</w:t>
      </w:r>
      <w:r>
        <w:rPr>
          <w:rFonts w:hint="eastAsia" w:ascii="黑体" w:hAnsi="黑体" w:eastAsia="黑体" w:cs="黑体"/>
          <w:color w:val="auto"/>
          <w:sz w:val="24"/>
          <w:szCs w:val="24"/>
          <w:highlight w:val="none"/>
        </w:rPr>
        <w:t>.3评标内容</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对进入谈判阶段的投标人的投标文件进行评审，评委将根据投标单位的投标报价、商业信誉、业绩、资金实力等情况进行综合评审，择优选择中标单位，招标人不承诺以最低价为唯一中标条件。</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（七）中标通知</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、中标通知</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.1招标人根据评标结果在投标谈判阶段结束后7日内向中标人发出中标通知。</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.2在向中标人发出中标通知后，同时通知落标人。不解释落标原因，不退还投标文件。</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（八）签订合同</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、签订合同</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.1中标人收到中标通知后10日内与招标人签订合同。</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.2拒签合同</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.2.1如因中标人原因拒签合同，则按违约处理。对违约方没收其投标保证金。</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 xml:space="preserve">.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keepNext w:val="0"/>
        <w:keepLines w:val="0"/>
        <w:pageBreakBefore w:val="0"/>
        <w:widowControl w:val="0"/>
        <w:kinsoku/>
        <w:wordWrap/>
        <w:overflowPunct/>
        <w:topLinePunct w:val="0"/>
        <w:autoSpaceDE/>
        <w:autoSpaceDN/>
        <w:bidi w:val="0"/>
        <w:adjustRightInd/>
        <w:snapToGrid/>
        <w:spacing w:line="336"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.3本招标文件是签订施工合同的主要依据，施工合同条款中涉及本招标文件的条件应当与招标文件相一致。若投标单位对合同条款无疑义时即可参与投标工作，若参加投标即对合同条款的认可。</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.4.本招标文件的解释权归招标人所有。</w:t>
      </w:r>
      <w:r>
        <w:rPr>
          <w:rFonts w:hint="eastAsia" w:ascii="黑体" w:hAnsi="黑体" w:eastAsia="黑体" w:cs="黑体"/>
          <w:color w:val="auto"/>
          <w:sz w:val="24"/>
          <w:szCs w:val="24"/>
          <w:highlight w:val="none"/>
        </w:rPr>
        <w:br w:type="page"/>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color w:val="auto"/>
          <w:sz w:val="36"/>
          <w:highlight w:val="none"/>
        </w:rPr>
      </w:pPr>
      <w:r>
        <w:rPr>
          <w:rFonts w:hint="eastAsia" w:ascii="黑体" w:hAnsi="黑体" w:eastAsia="黑体" w:cs="黑体"/>
          <w:b/>
          <w:color w:val="auto"/>
          <w:sz w:val="36"/>
          <w:highlight w:val="none"/>
        </w:rPr>
        <w:t>四、 合 同 条 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b/>
          <w:color w:val="auto"/>
          <w:sz w:val="44"/>
          <w:highlight w:val="none"/>
        </w:rPr>
        <w:t xml:space="preserve">  </w:t>
      </w:r>
      <w:r>
        <w:rPr>
          <w:rFonts w:hint="eastAsia" w:ascii="黑体" w:hAnsi="黑体" w:eastAsia="黑体" w:cs="黑体"/>
          <w:color w:val="auto"/>
          <w:sz w:val="24"/>
          <w:highlight w:val="none"/>
        </w:rPr>
        <w:t>一、工程质量：满足</w:t>
      </w:r>
      <w:r>
        <w:rPr>
          <w:rFonts w:hint="eastAsia" w:ascii="黑体" w:hAnsi="黑体" w:eastAsia="黑体" w:cs="黑体"/>
          <w:color w:val="auto"/>
          <w:sz w:val="24"/>
          <w:highlight w:val="none"/>
          <w:lang w:val="en-US" w:eastAsia="zh-CN"/>
        </w:rPr>
        <w:t>施工图纸及初步设计</w:t>
      </w:r>
      <w:r>
        <w:rPr>
          <w:rFonts w:hint="eastAsia" w:ascii="黑体" w:hAnsi="黑体" w:eastAsia="黑体" w:cs="黑体"/>
          <w:color w:val="auto"/>
          <w:sz w:val="24"/>
          <w:highlight w:val="none"/>
        </w:rPr>
        <w:t>图纸设计和使用要求，达到国家现行验收规范合格标准</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（该工程必须严格执行国家现行规范标准）。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二、工程工期：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1.如果因投标人原因造成工程不能按照承诺的时间完成，投标人每拖延一天应向招标人支付合同价款1‰的违约金，最多不超过10%。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2.投标人应充分考虑雾霾天气</w:t>
      </w:r>
      <w:r>
        <w:rPr>
          <w:rFonts w:hint="eastAsia" w:ascii="黑体" w:hAnsi="黑体" w:eastAsia="黑体" w:cs="黑体"/>
          <w:color w:val="auto"/>
          <w:sz w:val="24"/>
          <w:highlight w:val="none"/>
          <w:lang w:val="en-US" w:eastAsia="zh-CN"/>
        </w:rPr>
        <w:t>及疫情</w:t>
      </w:r>
      <w:r>
        <w:rPr>
          <w:rFonts w:hint="eastAsia" w:ascii="黑体" w:hAnsi="黑体" w:eastAsia="黑体" w:cs="黑体"/>
          <w:color w:val="auto"/>
          <w:sz w:val="24"/>
          <w:highlight w:val="none"/>
        </w:rPr>
        <w:t>等情况造成的停工，因不可抗力、政策或政府原因造成的停工原因造成的停工，双方互不承担经济责任，可视具体情况确定工期顺延。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三、安全施工：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人应遵守工程建设安全生产有关管理规定，严格按安全标准组织施工，并接受本工程监理、招标人管理以及行业安全检查人员依法实施的监督检查，采取必要的安全防护措施，消除事故隐患，杜绝死亡事故。由于投标人安全教育、措施不力造成安全事故的责任和因此发生的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2.投标人应对其在施工场地的工作人员进行安全教育，并对其安全负责。招标人不得要求投标人违反安全管理的规定进行施工。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四、工程款（进度款）支付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向</w:t>
      </w:r>
      <w:r>
        <w:rPr>
          <w:rFonts w:hint="eastAsia" w:ascii="黑体" w:hAnsi="黑体" w:eastAsia="黑体" w:cs="黑体"/>
          <w:color w:val="auto"/>
          <w:sz w:val="24"/>
          <w:highlight w:val="none"/>
          <w:lang w:val="en-US" w:eastAsia="zh-CN"/>
        </w:rPr>
        <w:t>分包人</w:t>
      </w:r>
      <w:r>
        <w:rPr>
          <w:rFonts w:hint="eastAsia" w:ascii="黑体" w:hAnsi="黑体" w:eastAsia="黑体" w:cs="黑体"/>
          <w:color w:val="auto"/>
          <w:sz w:val="24"/>
          <w:highlight w:val="none"/>
        </w:rPr>
        <w:t>支付工程款（进度款）的时间和方式：预付款无，按月进度款</w:t>
      </w:r>
      <w:r>
        <w:rPr>
          <w:rFonts w:hint="eastAsia" w:ascii="黑体" w:hAnsi="黑体" w:eastAsia="黑体" w:cs="黑体"/>
          <w:color w:val="auto"/>
          <w:sz w:val="24"/>
          <w:highlight w:val="none"/>
          <w:lang w:val="en-US" w:eastAsia="zh-CN"/>
        </w:rPr>
        <w:t>80</w:t>
      </w:r>
      <w:r>
        <w:rPr>
          <w:rFonts w:hint="eastAsia" w:ascii="黑体" w:hAnsi="黑体" w:eastAsia="黑体" w:cs="黑体"/>
          <w:color w:val="auto"/>
          <w:sz w:val="24"/>
          <w:highlight w:val="none"/>
        </w:rPr>
        <w:t>%支付。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2.竣工结算：中标人将竣工结算资料报至招标人，招标人审核完成后，待整体工程竣工验收合格满3个月后</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lang w:val="en-US" w:eastAsia="zh-CN"/>
        </w:rPr>
        <w:t>待招标方与业主结算完毕后，</w:t>
      </w:r>
      <w:r>
        <w:rPr>
          <w:rFonts w:hint="eastAsia" w:ascii="黑体" w:hAnsi="黑体" w:eastAsia="黑体" w:cs="黑体"/>
          <w:color w:val="auto"/>
          <w:sz w:val="24"/>
          <w:highlight w:val="none"/>
        </w:rPr>
        <w:t>60天内招标人付至</w:t>
      </w:r>
      <w:r>
        <w:rPr>
          <w:rFonts w:hint="eastAsia" w:ascii="黑体" w:hAnsi="黑体" w:eastAsia="黑体" w:cs="黑体"/>
          <w:color w:val="auto"/>
          <w:sz w:val="24"/>
          <w:highlight w:val="none"/>
          <w:lang w:eastAsia="zh-CN"/>
        </w:rPr>
        <w:t>消防工程</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结算总价款的9</w:t>
      </w: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%，留</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%作为工程质量保证金，待质保期满后（质保期按国家规定执行），一个月内支付全部的质量保证金（无利息）。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Calibri" w:hAnsi="Calibri" w:eastAsia="宋体" w:cs="Calibri"/>
          <w:b/>
          <w:bCs/>
          <w:sz w:val="21"/>
          <w:szCs w:val="21"/>
          <w:highlight w:val="none"/>
          <w:lang w:val="en-US" w:eastAsia="zh-CN"/>
        </w:rPr>
      </w:pPr>
      <w:r>
        <w:rPr>
          <w:rFonts w:hint="eastAsia" w:ascii="黑体" w:hAnsi="黑体" w:eastAsia="黑体" w:cs="黑体"/>
          <w:color w:val="auto"/>
          <w:sz w:val="24"/>
          <w:highlight w:val="none"/>
        </w:rPr>
        <w:t>3.3.</w:t>
      </w:r>
      <w:r>
        <w:rPr>
          <w:rFonts w:hint="eastAsia" w:ascii="黑体" w:hAnsi="黑体" w:eastAsia="黑体" w:cs="黑体"/>
          <w:color w:val="auto"/>
          <w:sz w:val="24"/>
          <w:highlight w:val="none"/>
          <w:lang w:val="en-US" w:eastAsia="zh-CN"/>
        </w:rPr>
        <w:t>最终分包结算价=投标方中标价+签证变更价格</w:t>
      </w:r>
      <w:r>
        <w:rPr>
          <w:rFonts w:hint="default" w:ascii="黑体" w:hAnsi="黑体" w:eastAsia="黑体" w:cs="黑体"/>
          <w:color w:val="auto"/>
          <w:sz w:val="24"/>
          <w:highlight w:val="none"/>
          <w:lang w:val="en-US" w:eastAsia="zh-CN"/>
        </w:rPr>
        <w:t>-施工水电费1%-其他扣、罚款，施工期间若有增加项（含签证、洽商、变更等）</w:t>
      </w:r>
      <w:r>
        <w:rPr>
          <w:rFonts w:hint="default" w:ascii="黑体" w:hAnsi="黑体" w:eastAsia="黑体" w:cs="黑体"/>
          <w:color w:val="FF0000"/>
          <w:sz w:val="24"/>
          <w:highlight w:val="none"/>
          <w:lang w:val="en-US" w:eastAsia="zh-CN"/>
        </w:rPr>
        <w:t>（签证、洽商、变更等</w:t>
      </w:r>
      <w:r>
        <w:rPr>
          <w:rFonts w:hint="eastAsia" w:ascii="黑体" w:hAnsi="黑体" w:eastAsia="黑体" w:cs="黑体"/>
          <w:color w:val="FF0000"/>
          <w:sz w:val="24"/>
          <w:highlight w:val="none"/>
          <w:lang w:val="en-US" w:eastAsia="zh-CN"/>
        </w:rPr>
        <w:t>乙方仅计取工程直接费（人工费+材料费+机械费</w:t>
      </w:r>
      <w:r>
        <w:rPr>
          <w:rFonts w:hint="default" w:ascii="黑体" w:hAnsi="黑体" w:eastAsia="黑体" w:cs="黑体"/>
          <w:color w:val="auto"/>
          <w:sz w:val="24"/>
          <w:highlight w:val="none"/>
          <w:lang w:val="en-US" w:eastAsia="zh-CN"/>
        </w:rPr>
        <w:t>）</w:t>
      </w:r>
      <w:r>
        <w:rPr>
          <w:rFonts w:hint="eastAsia" w:ascii="黑体" w:hAnsi="黑体" w:eastAsia="黑体" w:cs="黑体"/>
          <w:color w:val="auto"/>
          <w:sz w:val="24"/>
          <w:highlight w:val="none"/>
          <w:lang w:val="en-US" w:eastAsia="zh-CN"/>
        </w:rPr>
        <w:t>）</w:t>
      </w:r>
      <w:r>
        <w:rPr>
          <w:rFonts w:hint="default" w:ascii="黑体" w:hAnsi="黑体" w:eastAsia="黑体" w:cs="黑体"/>
          <w:color w:val="auto"/>
          <w:sz w:val="24"/>
          <w:highlight w:val="none"/>
          <w:lang w:val="en-US" w:eastAsia="zh-CN"/>
        </w:rPr>
        <w:t>，需</w:t>
      </w:r>
      <w:r>
        <w:rPr>
          <w:rFonts w:hint="eastAsia" w:ascii="黑体" w:hAnsi="黑体" w:eastAsia="黑体" w:cs="黑体"/>
          <w:color w:val="auto"/>
          <w:sz w:val="24"/>
          <w:highlight w:val="none"/>
          <w:lang w:val="en-US" w:eastAsia="zh-CN"/>
        </w:rPr>
        <w:t>经建设单位及甲方</w:t>
      </w:r>
      <w:r>
        <w:rPr>
          <w:rFonts w:hint="default" w:ascii="黑体" w:hAnsi="黑体" w:eastAsia="黑体" w:cs="黑体"/>
          <w:color w:val="auto"/>
          <w:sz w:val="24"/>
          <w:highlight w:val="none"/>
          <w:lang w:val="en-US" w:eastAsia="zh-CN"/>
        </w:rPr>
        <w:t>认可</w:t>
      </w:r>
      <w:r>
        <w:rPr>
          <w:rFonts w:hint="eastAsia" w:ascii="黑体" w:hAnsi="黑体" w:eastAsia="黑体" w:cs="黑体"/>
          <w:color w:val="auto"/>
          <w:sz w:val="24"/>
          <w:highlight w:val="none"/>
          <w:lang w:val="en-US" w:eastAsia="zh-CN"/>
        </w:rPr>
        <w:t>并</w:t>
      </w:r>
      <w:r>
        <w:rPr>
          <w:rFonts w:hint="default" w:ascii="黑体" w:hAnsi="黑体" w:eastAsia="黑体" w:cs="黑体"/>
          <w:color w:val="auto"/>
          <w:sz w:val="24"/>
          <w:highlight w:val="none"/>
          <w:lang w:val="en-US" w:eastAsia="zh-CN"/>
        </w:rPr>
        <w:t>签字盖章，方可追加相关费用。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4.如到上述付款节点时业主尚未支付招标人工程款，投标人应与招标人共同向业主主张应付款项，但投标人不得向招标人主张应付款项及违约责任。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.分包人必须向</w:t>
      </w:r>
      <w:r>
        <w:rPr>
          <w:rFonts w:hint="eastAsia" w:ascii="黑体" w:hAnsi="黑体" w:eastAsia="黑体" w:cs="黑体"/>
          <w:color w:val="auto"/>
          <w:sz w:val="24"/>
          <w:highlight w:val="none"/>
          <w:lang w:val="en-US" w:eastAsia="zh-CN"/>
        </w:rPr>
        <w:t>发</w:t>
      </w:r>
      <w:r>
        <w:rPr>
          <w:rFonts w:hint="eastAsia" w:ascii="黑体" w:hAnsi="黑体" w:eastAsia="黑体" w:cs="黑体"/>
          <w:color w:val="auto"/>
          <w:sz w:val="24"/>
          <w:highlight w:val="none"/>
        </w:rPr>
        <w:t>包人出具合法有效的增值税专用发票（税率</w:t>
      </w:r>
      <w:r>
        <w:rPr>
          <w:rFonts w:hint="eastAsia" w:ascii="黑体" w:hAnsi="黑体" w:eastAsia="黑体" w:cs="黑体"/>
          <w:color w:val="auto"/>
          <w:sz w:val="24"/>
          <w:highlight w:val="none"/>
          <w:lang w:val="en-US" w:eastAsia="zh-CN"/>
        </w:rPr>
        <w:t>9</w:t>
      </w:r>
      <w:r>
        <w:rPr>
          <w:rFonts w:hint="eastAsia" w:ascii="黑体" w:hAnsi="黑体" w:eastAsia="黑体" w:cs="黑体"/>
          <w:color w:val="auto"/>
          <w:sz w:val="24"/>
          <w:highlight w:val="none"/>
        </w:rPr>
        <w:t>%）及收据作为收款凭证。分包方开具的票据必须是由分包方从其发票主管税务机关购领;分包方必须保证提供给承包方的发票的票面数据与分包方缴销税务机关和分包方所留存的发票存根联填列数据相符；因分包方提供的发票不符合税务部门的要求，导致</w:t>
      </w:r>
      <w:r>
        <w:rPr>
          <w:rFonts w:hint="eastAsia" w:ascii="黑体" w:hAnsi="黑体" w:eastAsia="黑体" w:cs="黑体"/>
          <w:color w:val="auto"/>
          <w:sz w:val="24"/>
          <w:highlight w:val="none"/>
          <w:lang w:val="en-US" w:eastAsia="zh-CN"/>
        </w:rPr>
        <w:t>发</w:t>
      </w:r>
      <w:r>
        <w:rPr>
          <w:rFonts w:hint="eastAsia" w:ascii="黑体" w:hAnsi="黑体" w:eastAsia="黑体" w:cs="黑体"/>
          <w:color w:val="auto"/>
          <w:sz w:val="24"/>
          <w:highlight w:val="none"/>
        </w:rPr>
        <w:t>包方从分包方取得的增值税专用发票不能报验抵扣进项税金，或虽可通过报验但报验后被税务机关以“比对不符”或“失控发票”等事由追缴税款，而给</w:t>
      </w:r>
      <w:r>
        <w:rPr>
          <w:rFonts w:hint="eastAsia" w:ascii="黑体" w:hAnsi="黑体" w:eastAsia="黑体" w:cs="黑体"/>
          <w:color w:val="auto"/>
          <w:sz w:val="24"/>
          <w:highlight w:val="none"/>
          <w:lang w:val="en-US" w:eastAsia="zh-CN"/>
        </w:rPr>
        <w:t>发</w:t>
      </w:r>
      <w:r>
        <w:rPr>
          <w:rFonts w:hint="eastAsia" w:ascii="黑体" w:hAnsi="黑体" w:eastAsia="黑体" w:cs="黑体"/>
          <w:color w:val="auto"/>
          <w:sz w:val="24"/>
          <w:highlight w:val="none"/>
        </w:rPr>
        <w:t>包方造成的经济损失，由分包方负责赔偿。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6.6.竣工结算时与建设单位的结算评审工作的上报、核对均由分包人完成，分包人应据实上报最终结算金额，若因过程资料不完善、虚报结算金额等情况造成结算难以推进、难以完成、需承担审减费用等不良后果，由此产生的所有责任、费用均由分包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竣工结算资料，由分包人先报发包人予以审核备案，通过发包人报送建设单位，最终审计结果须通过发包人予以确认。分包结算过程，对分包人未予主张或者未能争取到的相关内容，如由发包人争取到的相关费用，分包人不参与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lang w:val="en-US" w:eastAsia="zh-CN"/>
        </w:rPr>
        <w:t>7</w:t>
      </w:r>
      <w:r>
        <w:rPr>
          <w:rFonts w:hint="eastAsia" w:ascii="黑体" w:hAnsi="黑体" w:eastAsia="黑体" w:cs="黑体"/>
          <w:color w:val="auto"/>
          <w:sz w:val="24"/>
          <w:szCs w:val="22"/>
          <w:highlight w:val="none"/>
        </w:rPr>
        <w:t>.分包人结算必须执行河北建工集团</w:t>
      </w:r>
      <w:r>
        <w:rPr>
          <w:rFonts w:hint="eastAsia" w:ascii="黑体" w:hAnsi="黑体" w:eastAsia="黑体" w:cs="黑体"/>
          <w:color w:val="auto"/>
          <w:sz w:val="24"/>
          <w:szCs w:val="22"/>
          <w:highlight w:val="none"/>
          <w:lang w:val="en-US" w:eastAsia="zh-CN"/>
        </w:rPr>
        <w:t>建筑装饰工程有限公司</w:t>
      </w:r>
      <w:r>
        <w:rPr>
          <w:rFonts w:hint="eastAsia" w:ascii="黑体" w:hAnsi="黑体" w:eastAsia="黑体" w:cs="黑体"/>
          <w:color w:val="auto"/>
          <w:sz w:val="24"/>
          <w:szCs w:val="22"/>
          <w:highlight w:val="none"/>
        </w:rPr>
        <w:t>百分考核制。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五、投标人采购材料设备</w:t>
      </w:r>
    </w:p>
    <w:p>
      <w:pPr>
        <w:pStyle w:val="16"/>
        <w:numPr>
          <w:ilvl w:val="0"/>
          <w:numId w:val="0"/>
        </w:numPr>
        <w:topLinePunct/>
        <w:spacing w:line="400" w:lineRule="exact"/>
        <w:ind w:leftChars="-40" w:right="-92" w:rightChars="-44"/>
        <w:jc w:val="center"/>
        <w:rPr>
          <w:rFonts w:hint="eastAsia" w:ascii="黑体" w:hAnsi="黑体" w:eastAsia="黑体" w:cs="黑体"/>
          <w:b/>
          <w:bCs/>
          <w:color w:val="auto"/>
          <w:sz w:val="24"/>
          <w:szCs w:val="24"/>
          <w:highlight w:val="none"/>
          <w:u w:val="none"/>
          <w:lang w:eastAsia="zh-CN"/>
        </w:rPr>
      </w:pPr>
      <w:r>
        <w:rPr>
          <w:rFonts w:hint="eastAsia" w:ascii="黑体" w:hAnsi="黑体" w:eastAsia="黑体" w:cs="黑体"/>
          <w:b/>
          <w:bCs/>
          <w:color w:val="auto"/>
          <w:sz w:val="24"/>
          <w:szCs w:val="24"/>
          <w:highlight w:val="none"/>
          <w:u w:val="none"/>
        </w:rPr>
        <w:t>主要材料品牌如下表规定</w:t>
      </w:r>
      <w:r>
        <w:rPr>
          <w:rFonts w:hint="eastAsia" w:ascii="黑体" w:hAnsi="黑体" w:eastAsia="黑体" w:cs="黑体"/>
          <w:b/>
          <w:bCs/>
          <w:color w:val="auto"/>
          <w:sz w:val="24"/>
          <w:szCs w:val="24"/>
          <w:highlight w:val="none"/>
          <w:u w:val="none"/>
          <w:lang w:eastAsia="zh-CN"/>
        </w:rPr>
        <w:t>（</w:t>
      </w:r>
      <w:r>
        <w:rPr>
          <w:rFonts w:hint="eastAsia" w:ascii="黑体" w:hAnsi="黑体" w:eastAsia="黑体" w:cs="黑体"/>
          <w:b/>
          <w:bCs/>
          <w:color w:val="auto"/>
          <w:sz w:val="24"/>
          <w:szCs w:val="24"/>
          <w:highlight w:val="none"/>
          <w:u w:val="none"/>
          <w:lang w:val="en-US" w:eastAsia="zh-CN"/>
        </w:rPr>
        <w:t>招标人有权统一材料设备品牌，不增加费用</w:t>
      </w:r>
      <w:r>
        <w:rPr>
          <w:rFonts w:hint="eastAsia" w:ascii="黑体" w:hAnsi="黑体" w:eastAsia="黑体" w:cs="黑体"/>
          <w:b/>
          <w:bCs/>
          <w:color w:val="auto"/>
          <w:sz w:val="24"/>
          <w:szCs w:val="24"/>
          <w:highlight w:val="none"/>
          <w:u w:val="none"/>
          <w:lang w:eastAsia="zh-CN"/>
        </w:rPr>
        <w:t>）</w:t>
      </w:r>
    </w:p>
    <w:p>
      <w:pPr>
        <w:ind w:firstLine="2650" w:firstLineChars="1100"/>
        <w:rPr>
          <w:rFonts w:hint="default"/>
          <w:lang w:val="en-US" w:eastAsia="zh-CN"/>
        </w:rPr>
      </w:pPr>
      <w:r>
        <w:rPr>
          <w:rFonts w:hint="eastAsia" w:ascii="黑体" w:hAnsi="黑体" w:eastAsia="黑体" w:cs="黑体"/>
          <w:b/>
          <w:bCs/>
          <w:color w:val="FF0000"/>
          <w:sz w:val="24"/>
          <w:szCs w:val="24"/>
          <w:highlight w:val="none"/>
          <w:u w:val="single"/>
          <w:lang w:val="en-US" w:eastAsia="zh-CN"/>
        </w:rPr>
        <w:t>必须是河北省消防器材品牌库备案品牌</w:t>
      </w:r>
    </w:p>
    <w:tbl>
      <w:tblPr>
        <w:tblStyle w:val="36"/>
        <w:tblpPr w:leftFromText="180" w:rightFromText="180" w:vertAnchor="text" w:tblpXSpec="center" w:tblpY="1"/>
        <w:tblOverlap w:val="never"/>
        <w:tblW w:w="5000" w:type="pct"/>
        <w:tblInd w:w="0" w:type="dxa"/>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Layout w:type="autofit"/>
        <w:tblCellMar>
          <w:top w:w="0" w:type="dxa"/>
          <w:left w:w="108" w:type="dxa"/>
          <w:bottom w:w="0" w:type="dxa"/>
          <w:right w:w="108" w:type="dxa"/>
        </w:tblCellMar>
      </w:tblPr>
      <w:tblGrid>
        <w:gridCol w:w="752"/>
        <w:gridCol w:w="1844"/>
        <w:gridCol w:w="7370"/>
      </w:tblGrid>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05" w:hRule="atLeast"/>
          <w:tblHeader/>
        </w:trPr>
        <w:tc>
          <w:tcPr>
            <w:tcW w:w="37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925"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材料名称</w:t>
            </w:r>
          </w:p>
        </w:tc>
        <w:tc>
          <w:tcPr>
            <w:tcW w:w="3697" w:type="pct"/>
            <w:tcBorders>
              <w:top w:val="double" w:color="00B0F0" w:sz="4" w:space="0"/>
            </w:tcBorders>
            <w:shd w:val="clear" w:color="auto" w:fill="D9D9D9"/>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建议品牌档次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1</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配电箱</w:t>
            </w:r>
          </w:p>
        </w:tc>
        <w:tc>
          <w:tcPr>
            <w:tcW w:w="3697"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bidi="ar"/>
              </w:rPr>
              <w:t>规模较大且满足现场进度要求，拥有良好加工能力的厂家</w:t>
            </w:r>
            <w:r>
              <w:rPr>
                <w:rFonts w:hint="eastAsia" w:ascii="黑体" w:hAnsi="黑体" w:eastAsia="黑体" w:cs="黑体"/>
                <w:color w:val="auto"/>
                <w:szCs w:val="21"/>
                <w:highlight w:val="none"/>
                <w:lang w:eastAsia="zh-CN" w:bidi="ar"/>
              </w:rPr>
              <w:t>；3C认证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2</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高低压柜（箱）断路器、隔离开关等主要元器件</w:t>
            </w:r>
          </w:p>
        </w:tc>
        <w:tc>
          <w:tcPr>
            <w:tcW w:w="3697" w:type="pct"/>
            <w:shd w:val="clear" w:color="auto" w:fill="FFFFFF"/>
            <w:noWrap w:val="0"/>
            <w:vAlign w:val="center"/>
          </w:tcPr>
          <w:p>
            <w:pPr>
              <w:widowControl/>
              <w:ind w:left="-21" w:leftChars="-10" w:right="-13" w:rightChars="-6" w:firstLine="21" w:firstLineChars="10"/>
              <w:jc w:val="both"/>
              <w:textAlignment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bidi="ar"/>
              </w:rPr>
              <w:t>正泰、德力西</w:t>
            </w:r>
            <w:r>
              <w:rPr>
                <w:rFonts w:hint="eastAsia" w:ascii="黑体" w:hAnsi="黑体" w:eastAsia="黑体" w:cs="黑体"/>
                <w:color w:val="auto"/>
                <w:szCs w:val="21"/>
                <w:highlight w:val="none"/>
                <w:lang w:bidi="ar"/>
              </w:rPr>
              <w:t>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3</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电缆电线</w:t>
            </w:r>
          </w:p>
        </w:tc>
        <w:tc>
          <w:tcPr>
            <w:tcW w:w="3697"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小猫生产的优质产品。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63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4</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矿物绝缘电缆</w:t>
            </w:r>
          </w:p>
        </w:tc>
        <w:tc>
          <w:tcPr>
            <w:tcW w:w="3697"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江苏宝胜、久盛电气、上海安捷、浙江万马、特变电工</w:t>
            </w:r>
            <w:r>
              <w:rPr>
                <w:rFonts w:hint="eastAsia" w:ascii="黑体" w:hAnsi="黑体" w:eastAsia="黑体" w:cs="黑体"/>
                <w:color w:val="auto"/>
                <w:szCs w:val="21"/>
                <w:highlight w:val="none"/>
                <w:lang w:val="en-US" w:eastAsia="zh-CN" w:bidi="ar"/>
              </w:rPr>
              <w:t>及天津小猫</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5</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浪涌保护器</w:t>
            </w:r>
          </w:p>
        </w:tc>
        <w:tc>
          <w:tcPr>
            <w:tcW w:w="3697" w:type="pct"/>
            <w:shd w:val="clear" w:color="auto" w:fill="FFFFFF"/>
            <w:noWrap w:val="0"/>
            <w:vAlign w:val="center"/>
          </w:tcPr>
          <w:p>
            <w:pPr>
              <w:widowControl/>
              <w:ind w:left="-21" w:leftChars="-10" w:right="-13" w:rightChars="-6" w:firstLine="21" w:firstLineChars="10"/>
              <w:jc w:val="both"/>
              <w:textAlignment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伊顿、北京瑞科智汇、北京腾冠信达、上海人民、上海良信</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6</w:t>
            </w:r>
          </w:p>
        </w:tc>
        <w:tc>
          <w:tcPr>
            <w:tcW w:w="925"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多功能仪表</w:t>
            </w:r>
          </w:p>
        </w:tc>
        <w:tc>
          <w:tcPr>
            <w:tcW w:w="3697" w:type="pct"/>
            <w:shd w:val="clear" w:color="auto" w:fill="FFFFFF"/>
            <w:noWrap w:val="0"/>
            <w:vAlign w:val="center"/>
          </w:tcPr>
          <w:p>
            <w:pPr>
              <w:widowControl/>
              <w:ind w:right="-13" w:rightChars="-6"/>
              <w:jc w:val="center"/>
              <w:textAlignment w:val="center"/>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val="en-US" w:eastAsia="zh-CN"/>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7</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阀门</w:t>
            </w:r>
          </w:p>
        </w:tc>
        <w:tc>
          <w:tcPr>
            <w:tcW w:w="3697"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bidi="ar"/>
              </w:rPr>
              <w:t>选用东方威尔、良工（工字牌）、铜都流体、远大等厂家生产的优质产品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8</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焊管</w:t>
            </w:r>
          </w:p>
        </w:tc>
        <w:tc>
          <w:tcPr>
            <w:tcW w:w="3697"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szCs w:val="21"/>
                <w:highlight w:val="none"/>
                <w:lang w:val="en-US" w:eastAsia="zh-CN" w:bidi="ar"/>
              </w:rPr>
            </w:pPr>
            <w:r>
              <w:rPr>
                <w:rFonts w:hint="eastAsia" w:ascii="黑体" w:hAnsi="黑体" w:eastAsia="黑体" w:cs="黑体"/>
                <w:color w:val="auto"/>
                <w:szCs w:val="21"/>
                <w:highlight w:val="none"/>
                <w:lang w:bidi="ar"/>
              </w:rPr>
              <w:t>选用京华、友发、华岐等厂家生产的优质产品或同档次产品。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9</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无缝管</w:t>
            </w:r>
          </w:p>
        </w:tc>
        <w:tc>
          <w:tcPr>
            <w:tcW w:w="3697" w:type="pct"/>
            <w:shd w:val="clear" w:color="auto" w:fill="FFFFFF"/>
            <w:noWrap w:val="0"/>
            <w:vAlign w:val="center"/>
          </w:tcPr>
          <w:p>
            <w:pPr>
              <w:widowControl/>
              <w:ind w:right="-92" w:rightChars="-44"/>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金宝诚管业、美鑫管业、包钢、临沂金正阳、天津应泰、天津友发</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10</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镀锌管</w:t>
            </w:r>
          </w:p>
        </w:tc>
        <w:tc>
          <w:tcPr>
            <w:tcW w:w="3697"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选用京华、友发、华岐等厂家生产的优质产品。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11</w:t>
            </w:r>
          </w:p>
        </w:tc>
        <w:tc>
          <w:tcPr>
            <w:tcW w:w="925" w:type="pct"/>
            <w:shd w:val="clear" w:color="auto" w:fill="FFFFFF"/>
            <w:noWrap w:val="0"/>
            <w:vAlign w:val="center"/>
          </w:tcPr>
          <w:p>
            <w:pPr>
              <w:adjustRightInd w:val="0"/>
              <w:snapToGrid w:val="0"/>
              <w:ind w:right="101" w:rightChars="48"/>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消防器材（喷头、水流指示器、湿式报警阀组、水泵接合器、信号阀）</w:t>
            </w:r>
          </w:p>
        </w:tc>
        <w:tc>
          <w:tcPr>
            <w:tcW w:w="3697" w:type="pct"/>
            <w:shd w:val="clear" w:color="auto" w:fill="FFFFFF"/>
            <w:noWrap w:val="0"/>
            <w:vAlign w:val="center"/>
          </w:tcPr>
          <w:p>
            <w:pPr>
              <w:ind w:left="0" w:leftChars="0" w:right="-92" w:rightChars="-44" w:firstLine="195" w:firstLineChars="93"/>
              <w:jc w:val="both"/>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选用广东胜捷、天广、北仑吉龙等厂家生产的优质产品</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val="en-US" w:eastAsia="zh-CN" w:bidi="ar"/>
              </w:rPr>
              <w:t>设备出场流向二维码必须添加流向，具体到项目名称</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bidi="ar"/>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12</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消防水泵(含控制柜)</w:t>
            </w:r>
          </w:p>
        </w:tc>
        <w:tc>
          <w:tcPr>
            <w:tcW w:w="3697" w:type="pct"/>
            <w:shd w:val="clear" w:color="auto" w:fill="FFFFFF"/>
            <w:noWrap w:val="0"/>
            <w:vAlign w:val="center"/>
          </w:tcPr>
          <w:p>
            <w:pPr>
              <w:widowControl/>
              <w:ind w:left="0" w:leftChars="0" w:right="-92" w:rightChars="-44" w:firstLine="195" w:firstLineChars="93"/>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选用连成、凯泉等厂家生产的优质产品。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9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13</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消火栓、水泵接合器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14</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湿式报警阀、预作用阀、水喷雾雨淋阀、压力开关</w:t>
            </w:r>
          </w:p>
        </w:tc>
        <w:tc>
          <w:tcPr>
            <w:tcW w:w="3697" w:type="pct"/>
            <w:shd w:val="clear" w:color="auto" w:fill="FFFFFF"/>
            <w:noWrap w:val="0"/>
            <w:vAlign w:val="center"/>
          </w:tcPr>
          <w:p>
            <w:pPr>
              <w:widowControl/>
              <w:ind w:left="0" w:leftChars="0" w:right="-92" w:rightChars="-44" w:firstLine="195" w:firstLineChars="93"/>
              <w:jc w:val="both"/>
              <w:textAlignment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lang w:bidi="ar"/>
              </w:rPr>
              <w:t>天广、深圳广安、天宁、盾安、南消、北消、川消</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15</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LCD显示设备</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16</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LED显示屏、LCD拼接屏</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17</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消防广播及背景音乐系统</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84"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18</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弱电系统集成</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19</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服务器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20</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火灾报警系统</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选用海湾、北大青鸟、泛海三江等厂家生产的优质产品。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21</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电力监控系统</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22</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UPS 电源</w:t>
            </w:r>
            <w:r>
              <w:rPr>
                <w:rFonts w:hint="eastAsia" w:ascii="黑体" w:hAnsi="黑体" w:eastAsia="黑体" w:cs="黑体"/>
                <w:color w:val="000000" w:themeColor="text1"/>
                <w:szCs w:val="21"/>
                <w:highlight w:val="none"/>
                <w:lang w:val="en-US" w:eastAsia="zh-CN"/>
                <w14:textFill>
                  <w14:solidFill>
                    <w14:schemeClr w14:val="tx1"/>
                  </w14:solidFill>
                </w14:textFill>
              </w:rPr>
              <w:t>主机</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选用施耐德、华为、深圳山特、中电博微、科华等厂家生产的优质产品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23</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网络设备</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24</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设备机柜</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由投标人自主考虑，但须满足图纸设计、使用和验收要求，符合国家现行验收规范且在投标时在品牌表中列明。</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25</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PVC-U给、排水管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选用中财、伟星、联塑、金德等厂家生产的优质产品。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26</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气体灭火系统、灭火器</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选用南消、杭州新纪元、浙江信达可恩等厂家生产的优质产品</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val="en-US" w:eastAsia="zh-CN" w:bidi="ar"/>
              </w:rPr>
              <w:t>设备出场流向二维码必须添加流向，具体到项目名称</w:t>
            </w:r>
            <w:r>
              <w:rPr>
                <w:rFonts w:hint="eastAsia" w:ascii="黑体" w:hAnsi="黑体" w:eastAsia="黑体" w:cs="黑体"/>
                <w:color w:val="auto"/>
                <w:szCs w:val="21"/>
                <w:highlight w:val="none"/>
                <w:lang w:eastAsia="zh-CN" w:bidi="ar"/>
              </w:rPr>
              <w:t>）</w:t>
            </w:r>
            <w:r>
              <w:rPr>
                <w:rFonts w:hint="eastAsia" w:ascii="黑体" w:hAnsi="黑体" w:eastAsia="黑体" w:cs="黑体"/>
                <w:color w:val="auto"/>
                <w:szCs w:val="21"/>
                <w:highlight w:val="none"/>
                <w:lang w:bidi="ar"/>
              </w:rPr>
              <w:t>。</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27</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薄壁不锈钢管</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选用民生、民乐、雅昌、众扬等厂家生产的优质产品。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28</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潜污泵</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选用凯泉、青岛三利、东方泵业等厂家生产的优质产品。</w:t>
            </w:r>
          </w:p>
        </w:tc>
      </w:tr>
      <w:tr>
        <w:tblPrEx>
          <w:tblBorders>
            <w:top w:val="double" w:color="00B0F0" w:sz="4" w:space="0"/>
            <w:left w:val="double" w:color="00B0F0" w:sz="4" w:space="0"/>
            <w:bottom w:val="double" w:color="00B0F0" w:sz="4" w:space="0"/>
            <w:right w:val="double" w:color="00B0F0" w:sz="4" w:space="0"/>
            <w:insideH w:val="single" w:color="00B0F0" w:sz="6" w:space="0"/>
            <w:insideV w:val="single" w:color="00B0F0" w:sz="6" w:space="0"/>
          </w:tblBorders>
          <w:tblCellMar>
            <w:top w:w="0" w:type="dxa"/>
            <w:left w:w="108" w:type="dxa"/>
            <w:bottom w:w="0" w:type="dxa"/>
            <w:right w:w="108" w:type="dxa"/>
          </w:tblCellMar>
        </w:tblPrEx>
        <w:trPr>
          <w:trHeight w:val="450" w:hRule="atLeast"/>
        </w:trPr>
        <w:tc>
          <w:tcPr>
            <w:tcW w:w="377" w:type="pct"/>
            <w:shd w:val="clear" w:color="auto" w:fill="FFFFFF"/>
            <w:noWrap w:val="0"/>
            <w:vAlign w:val="center"/>
          </w:tcPr>
          <w:p>
            <w:pPr>
              <w:adjustRightInd w:val="0"/>
              <w:snapToGrid w:val="0"/>
              <w:ind w:left="-199" w:leftChars="-95" w:right="-92" w:rightChars="-44" w:firstLine="115" w:firstLineChars="55"/>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29</w:t>
            </w:r>
          </w:p>
        </w:tc>
        <w:tc>
          <w:tcPr>
            <w:tcW w:w="925" w:type="pct"/>
            <w:shd w:val="clear" w:color="auto" w:fill="FFFFFF"/>
            <w:noWrap w:val="0"/>
            <w:vAlign w:val="center"/>
          </w:tcPr>
          <w:p>
            <w:pPr>
              <w:adjustRightInd w:val="0"/>
              <w:snapToGrid w:val="0"/>
              <w:ind w:left="0" w:leftChars="0" w:right="101" w:rightChars="48" w:firstLine="195" w:firstLineChars="93"/>
              <w:jc w:val="center"/>
              <w:rPr>
                <w:rFonts w:hint="default"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应急照明灯具</w:t>
            </w:r>
          </w:p>
        </w:tc>
        <w:tc>
          <w:tcPr>
            <w:tcW w:w="3697" w:type="pct"/>
            <w:shd w:val="clear" w:color="auto" w:fill="FFFFFF"/>
            <w:noWrap w:val="0"/>
            <w:vAlign w:val="center"/>
          </w:tcPr>
          <w:p>
            <w:pPr>
              <w:adjustRightInd w:val="0"/>
              <w:snapToGrid w:val="0"/>
              <w:ind w:left="0" w:leftChars="0" w:right="101" w:rightChars="48" w:firstLine="195" w:firstLineChars="93"/>
              <w:jc w:val="center"/>
              <w:rPr>
                <w:rFonts w:hint="eastAsia" w:ascii="黑体" w:hAnsi="黑体" w:eastAsia="黑体" w:cs="黑体"/>
                <w:color w:val="000000" w:themeColor="text1"/>
                <w:szCs w:val="21"/>
                <w:highlight w:val="none"/>
                <w:lang w:val="en-US" w:eastAsia="zh-CN"/>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选用和消防主机配套品牌灯具（满足图纸设计、使用和验收要求，符合国家现行验收规范且在投标时在品牌表中列明、灯具</w:t>
            </w:r>
            <w:r>
              <w:rPr>
                <w:rFonts w:hint="eastAsia" w:ascii="黑体" w:hAnsi="黑体" w:eastAsia="黑体" w:cs="黑体"/>
                <w:color w:val="auto"/>
                <w:szCs w:val="21"/>
                <w:highlight w:val="none"/>
                <w:lang w:val="en-US" w:eastAsia="zh-CN" w:bidi="ar"/>
              </w:rPr>
              <w:t>出场流向二维码必须添加流向，具体到项目名称</w:t>
            </w:r>
            <w:r>
              <w:rPr>
                <w:rFonts w:hint="eastAsia" w:ascii="黑体" w:hAnsi="黑体" w:eastAsia="黑体" w:cs="黑体"/>
                <w:color w:val="000000" w:themeColor="text1"/>
                <w:szCs w:val="21"/>
                <w:highlight w:val="none"/>
                <w:lang w:val="en-US" w:eastAsia="zh-CN"/>
                <w14:textFill>
                  <w14:solidFill>
                    <w14:schemeClr w14:val="tx1"/>
                  </w14:solidFill>
                </w14:textFill>
              </w:rPr>
              <w:t>）。</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20" w:firstLineChars="0"/>
        <w:jc w:val="left"/>
        <w:textAlignment w:val="auto"/>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b/>
          <w:bCs/>
          <w:color w:val="000000" w:themeColor="text1"/>
          <w:kern w:val="0"/>
          <w:sz w:val="24"/>
          <w:szCs w:val="24"/>
          <w:highlight w:val="none"/>
          <w:u w:val="single"/>
          <w:lang w:val="en-US" w:eastAsia="zh-CN" w:bidi="ar"/>
          <w14:textFill>
            <w14:solidFill>
              <w14:schemeClr w14:val="tx1"/>
            </w14:solidFill>
          </w14:textFill>
        </w:rPr>
        <w:t>表中</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规定</w:t>
      </w:r>
      <w:r>
        <w:rPr>
          <w:rFonts w:hint="eastAsia" w:ascii="黑体" w:hAnsi="黑体" w:eastAsia="黑体" w:cs="黑体"/>
          <w:b/>
          <w:bCs/>
          <w:color w:val="000000" w:themeColor="text1"/>
          <w:sz w:val="24"/>
          <w:szCs w:val="24"/>
          <w:highlight w:val="none"/>
          <w:u w:val="single"/>
          <w14:textFill>
            <w14:solidFill>
              <w14:schemeClr w14:val="tx1"/>
            </w14:solidFill>
          </w14:textFill>
        </w:rPr>
        <w:t>主要材料品牌</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(均为河北省消防品牌库备案）的材料及设备必须按规定品牌执行，未规定品牌的主要材料由投标人自主考虑，但须满足图纸设计、使用和验收要求，符合国家现行验收规范且在投标时在品牌表中列明。</w:t>
      </w:r>
    </w:p>
    <w:p>
      <w:pPr>
        <w:keepNext w:val="0"/>
        <w:keepLines w:val="0"/>
        <w:pageBreakBefore w:val="0"/>
        <w:widowControl w:val="0"/>
        <w:kinsoku/>
        <w:wordWrap/>
        <w:overflowPunct/>
        <w:topLinePunct w:val="0"/>
        <w:autoSpaceDE/>
        <w:autoSpaceDN/>
        <w:bidi w:val="0"/>
        <w:adjustRightInd/>
        <w:snapToGrid/>
        <w:spacing w:before="287" w:beforeLines="100" w:line="360" w:lineRule="auto"/>
        <w:jc w:val="left"/>
        <w:textAlignment w:val="auto"/>
        <w:rPr>
          <w:rFonts w:hint="eastAsia" w:ascii="黑体" w:hAnsi="黑体" w:eastAsia="黑体" w:cs="黑体"/>
          <w:color w:val="FF0000"/>
          <w:sz w:val="24"/>
          <w:highlight w:val="none"/>
        </w:rPr>
      </w:pPr>
      <w:r>
        <w:rPr>
          <w:rFonts w:hint="eastAsia" w:ascii="黑体" w:hAnsi="黑体" w:eastAsia="黑体" w:cs="黑体"/>
          <w:color w:val="auto"/>
          <w:sz w:val="24"/>
          <w:highlight w:val="none"/>
        </w:rPr>
        <w:t>六、</w:t>
      </w:r>
      <w:r>
        <w:rPr>
          <w:rFonts w:hint="eastAsia" w:ascii="黑体" w:hAnsi="黑体" w:eastAsia="黑体" w:cs="黑体"/>
          <w:color w:val="FF0000"/>
          <w:sz w:val="24"/>
          <w:highlight w:val="none"/>
        </w:rPr>
        <w:t>竣工结算方式：</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0" w:firstLineChars="200"/>
        <w:jc w:val="left"/>
        <w:textAlignment w:val="auto"/>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color w:val="auto"/>
          <w:sz w:val="24"/>
          <w:highlight w:val="none"/>
          <w:lang w:val="en-US" w:eastAsia="zh-CN"/>
        </w:rPr>
        <w:t>最终分包结算价=</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投标方中标价+签证变更价格</w:t>
      </w:r>
      <w:r>
        <w:rPr>
          <w:rFonts w:hint="default" w:ascii="黑体" w:hAnsi="黑体" w:eastAsia="黑体" w:cs="黑体"/>
          <w:strike w:val="0"/>
          <w:dstrike w:val="0"/>
          <w:color w:val="FF0000"/>
          <w:sz w:val="24"/>
          <w:highlight w:val="none"/>
          <w:u w:val="single"/>
          <w:lang w:val="en-US" w:eastAsia="zh-CN"/>
        </w:rPr>
        <w:t>（签证、洽商、变更等</w:t>
      </w:r>
      <w:r>
        <w:rPr>
          <w:rFonts w:hint="eastAsia" w:ascii="黑体" w:hAnsi="黑体" w:eastAsia="黑体" w:cs="黑体"/>
          <w:strike w:val="0"/>
          <w:dstrike w:val="0"/>
          <w:color w:val="FF0000"/>
          <w:sz w:val="24"/>
          <w:highlight w:val="none"/>
          <w:u w:val="single"/>
          <w:lang w:val="en-US" w:eastAsia="zh-CN"/>
        </w:rPr>
        <w:t>乙方仅计取工程直接费（人工费+材料费+机械费</w:t>
      </w:r>
      <w:r>
        <w:rPr>
          <w:rFonts w:hint="default" w:ascii="黑体" w:hAnsi="黑体" w:eastAsia="黑体" w:cs="黑体"/>
          <w:strike w:val="0"/>
          <w:dstrike w:val="0"/>
          <w:color w:val="auto"/>
          <w:sz w:val="24"/>
          <w:highlight w:val="none"/>
          <w:u w:val="single"/>
          <w:lang w:val="en-US" w:eastAsia="zh-CN"/>
        </w:rPr>
        <w:t>）</w:t>
      </w:r>
      <w:r>
        <w:rPr>
          <w:rFonts w:hint="eastAsia" w:ascii="黑体" w:hAnsi="黑体" w:eastAsia="黑体" w:cs="黑体"/>
          <w:strike w:val="0"/>
          <w:dstrike w:val="0"/>
          <w:color w:val="auto"/>
          <w:sz w:val="24"/>
          <w:highlight w:val="none"/>
          <w:u w:val="single"/>
          <w:lang w:val="en-US" w:eastAsia="zh-CN"/>
        </w:rPr>
        <w:t>）</w:t>
      </w:r>
      <w:r>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t>-施工水电费1%-其他扣、罚款，施工期间若有增加项（含签证、洽商、变更等</w:t>
      </w:r>
      <w:r>
        <w:rPr>
          <w:rFonts w:hint="default" w:ascii="黑体" w:hAnsi="黑体" w:eastAsia="黑体" w:cs="黑体"/>
          <w:b/>
          <w:bCs/>
          <w:strike w:val="0"/>
          <w:dstrike w:val="0"/>
          <w:color w:val="000000" w:themeColor="text1"/>
          <w:sz w:val="24"/>
          <w:szCs w:val="24"/>
          <w:highlight w:val="none"/>
          <w:u w:val="single"/>
          <w:lang w:val="en-US" w:eastAsia="zh-CN"/>
          <w14:textFill>
            <w14:solidFill>
              <w14:schemeClr w14:val="tx1"/>
            </w14:solidFill>
          </w14:textFill>
        </w:rPr>
        <w:t>）</w:t>
      </w:r>
      <w:r>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t>，需</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经建设单位及甲方</w:t>
      </w:r>
      <w:r>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t>认可</w:t>
      </w:r>
      <w:r>
        <w:rPr>
          <w:rFonts w:hint="eastAsia" w:ascii="黑体" w:hAnsi="黑体" w:eastAsia="黑体" w:cs="黑体"/>
          <w:b/>
          <w:bCs/>
          <w:color w:val="000000" w:themeColor="text1"/>
          <w:sz w:val="24"/>
          <w:szCs w:val="24"/>
          <w:highlight w:val="none"/>
          <w:u w:val="single"/>
          <w:lang w:val="en-US" w:eastAsia="zh-CN"/>
          <w14:textFill>
            <w14:solidFill>
              <w14:schemeClr w14:val="tx1"/>
            </w14:solidFill>
          </w14:textFill>
        </w:rPr>
        <w:t>并</w:t>
      </w:r>
      <w:r>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t>签字盖章，方可追加相关费用。</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2" w:firstLineChars="200"/>
        <w:jc w:val="left"/>
        <w:textAlignment w:val="auto"/>
        <w:rPr>
          <w:rFonts w:hint="default" w:ascii="黑体" w:hAnsi="黑体" w:eastAsia="黑体" w:cs="黑体"/>
          <w:b/>
          <w:bCs/>
          <w:color w:val="000000" w:themeColor="text1"/>
          <w:sz w:val="24"/>
          <w:szCs w:val="24"/>
          <w:highlight w:val="none"/>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七、合同的履行、终止和解除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发包人、</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包人协商一致，可以解除合同。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包人有下列情形之一者，发包人可以解除合同：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包人未能在规定的开工期限内开工，经催告后仍未开工的。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2.2进度计划未表明有停工而且也未授权停工，但承包人停止施工时间持续达</w:t>
      </w:r>
      <w:r>
        <w:rPr>
          <w:rFonts w:hint="eastAsia" w:ascii="黑体" w:hAnsi="黑体" w:eastAsia="黑体" w:cs="黑体"/>
          <w:color w:val="auto"/>
          <w:sz w:val="24"/>
          <w:szCs w:val="24"/>
          <w:highlight w:val="none"/>
          <w:u w:val="single"/>
        </w:rPr>
        <w:t>3</w:t>
      </w:r>
      <w:r>
        <w:rPr>
          <w:rFonts w:hint="eastAsia" w:ascii="黑体" w:hAnsi="黑体" w:eastAsia="黑体" w:cs="黑体"/>
          <w:color w:val="auto"/>
          <w:sz w:val="24"/>
          <w:szCs w:val="24"/>
          <w:highlight w:val="none"/>
        </w:rPr>
        <w:t>天或累计停止施工时间达</w:t>
      </w:r>
      <w:r>
        <w:rPr>
          <w:rFonts w:hint="eastAsia" w:ascii="黑体" w:hAnsi="黑体" w:eastAsia="黑体" w:cs="黑体"/>
          <w:color w:val="auto"/>
          <w:sz w:val="24"/>
          <w:szCs w:val="24"/>
          <w:highlight w:val="none"/>
          <w:u w:val="single"/>
        </w:rPr>
        <w:t>7</w:t>
      </w:r>
      <w:r>
        <w:rPr>
          <w:rFonts w:hint="eastAsia" w:ascii="黑体" w:hAnsi="黑体" w:eastAsia="黑体" w:cs="黑体"/>
          <w:color w:val="auto"/>
          <w:sz w:val="24"/>
          <w:szCs w:val="24"/>
          <w:highlight w:val="none"/>
        </w:rPr>
        <w:t>天的。</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包人破产或清偿的，但为机构重组或联合的目的除外。</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 xml:space="preserve">包人拖延完工而可偿付的误期赔偿费已达约定最高限额的。 </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包人明确表示不履行合同规定主要义务的。</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包人未遵守合同约定或指令，且不按要求改正的。</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包人在投标过程中或履行合同期间参与欺诈行为的。</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包人非法转包工程、违法分包或未经许可擅自分包工程的。</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2.9</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包人被认为是严重违反合同的其他违约行为。</w:t>
      </w:r>
    </w:p>
    <w:p>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如果发包人依据第2款规定的情形解除合同，发包人可自行或指派第三方实施、完成合同工程或其任何部分，并可使用留下的承包人施工机械、周转性材料和临时工程，直至永久工程完工为止。</w:t>
      </w:r>
    </w:p>
    <w:p>
      <w:pPr>
        <w:spacing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如在</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包人没有完全履行本合同义务之前，总包合同终止，发包人应通知</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包人终止本合同。</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包人接到通知后尽快撤离现场，发包人应按本合同约定支付承包人已完工程的劳务报酬。</w:t>
      </w:r>
    </w:p>
    <w:p>
      <w:pPr>
        <w:spacing w:line="440" w:lineRule="exact"/>
        <w:ind w:firstLine="120" w:firstLineChars="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如因不可抗力致使本合同无法履行，或因业主原因造成工程停建或缓建，致使合同无法履行的，发包人和</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包人可以解除合同。</w:t>
      </w:r>
    </w:p>
    <w:p>
      <w:pPr>
        <w:spacing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6</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合同解除后，</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应妥善做好已完工程和剩余材料、设备的保护和移交工作，按发包人要求撤出施工场地。发包人应为承包人撤出提供必要条件，支付以上所发生的费用，并按合同约定支付已完工作劳务报酬。有过错的一方应当赔偿因合同解除给对方造成的损失。合同解除后，不影响双方在合同中约定的结算和清理条款的效力。</w:t>
      </w:r>
    </w:p>
    <w:p>
      <w:pPr>
        <w:pStyle w:val="2"/>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八、</w:t>
      </w:r>
      <w:r>
        <w:rPr>
          <w:rFonts w:hint="eastAsia" w:ascii="黑体" w:hAnsi="黑体" w:eastAsia="黑体" w:cs="黑体"/>
          <w:color w:val="auto"/>
          <w:sz w:val="24"/>
          <w:highlight w:val="none"/>
        </w:rPr>
        <w:t>奖惩措施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1. 该工程质量必须符合图纸及有关技术文件规定的技术质量要求，符合国家及行业的有关标准。如果由于投标人原因达不到， 按工程结算价款3%对投标人进行处罚。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2.本工程必须达到招标人《质量、环境、职业健康安全管理体系》提出的要求，如由于投标人原因达不到，按工程结算价款5%对投标人进行处罚。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九、其它：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w:t>
      </w:r>
      <w:r>
        <w:rPr>
          <w:rFonts w:hint="eastAsia" w:ascii="黑体" w:hAnsi="黑体" w:eastAsia="黑体" w:cs="黑体"/>
          <w:color w:val="000000" w:themeColor="text1"/>
          <w:sz w:val="24"/>
          <w:highlight w:val="none"/>
          <w14:textFill>
            <w14:solidFill>
              <w14:schemeClr w14:val="tx1"/>
            </w14:solidFill>
          </w14:textFill>
        </w:rPr>
        <w:t>投标人不得无故更换项目经理，并且项目经理常驻现场，</w:t>
      </w:r>
      <w:r>
        <w:rPr>
          <w:rFonts w:hint="eastAsia" w:ascii="黑体" w:hAnsi="黑体" w:eastAsia="黑体" w:cs="黑体"/>
          <w:color w:val="000000" w:themeColor="text1"/>
          <w:sz w:val="24"/>
          <w:highlight w:val="none"/>
          <w:lang w:eastAsia="zh-CN"/>
          <w14:textFill>
            <w14:solidFill>
              <w14:schemeClr w14:val="tx1"/>
            </w14:solidFill>
          </w14:textFill>
        </w:rPr>
        <w:t>项目部主要管理人员不得随意更换，如需更换必须得到招标人同意，</w:t>
      </w:r>
      <w:r>
        <w:rPr>
          <w:rFonts w:hint="eastAsia" w:ascii="黑体" w:hAnsi="黑体" w:eastAsia="黑体" w:cs="黑体"/>
          <w:color w:val="000000" w:themeColor="text1"/>
          <w:sz w:val="24"/>
          <w:highlight w:val="none"/>
          <w14:textFill>
            <w14:solidFill>
              <w14:schemeClr w14:val="tx1"/>
            </w14:solidFill>
          </w14:textFill>
        </w:rPr>
        <w:t>安全员和特种作业人员必须持证上岗。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.投标人必须遵守河北建工集团</w:t>
      </w:r>
      <w:r>
        <w:rPr>
          <w:rFonts w:hint="eastAsia" w:ascii="黑体" w:hAnsi="黑体" w:eastAsia="黑体" w:cs="黑体"/>
          <w:color w:val="auto"/>
          <w:sz w:val="24"/>
          <w:highlight w:val="none"/>
          <w:lang w:val="en-US" w:eastAsia="zh-CN"/>
        </w:rPr>
        <w:t>建筑装饰工程有限公司</w:t>
      </w:r>
      <w:r>
        <w:rPr>
          <w:rFonts w:hint="eastAsia" w:ascii="黑体" w:hAnsi="黑体" w:eastAsia="黑体" w:cs="黑体"/>
          <w:color w:val="auto"/>
          <w:sz w:val="24"/>
          <w:highlight w:val="none"/>
        </w:rPr>
        <w:t>对本工程的相关规定和关于施工方面的有关规定，不得野蛮施工。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.分包合同签订后7内，投标人应向发包人提交履约保证金，履约保证金以电汇或者网银形式进行支付，如不按时提交履约保证金，此款项将在进度款中扣除。待</w:t>
      </w:r>
      <w:r>
        <w:rPr>
          <w:rFonts w:hint="eastAsia" w:ascii="黑体" w:hAnsi="黑体" w:eastAsia="黑体" w:cs="黑体"/>
          <w:color w:val="auto"/>
          <w:sz w:val="24"/>
          <w:highlight w:val="none"/>
          <w:lang w:eastAsia="zh-CN"/>
        </w:rPr>
        <w:t>工程</w:t>
      </w:r>
      <w:r>
        <w:rPr>
          <w:rFonts w:hint="eastAsia" w:ascii="黑体" w:hAnsi="黑体" w:eastAsia="黑体" w:cs="黑体"/>
          <w:color w:val="auto"/>
          <w:sz w:val="24"/>
          <w:highlight w:val="none"/>
        </w:rPr>
        <w:t>完工后，发包人退还投标人履约保证金（无利息）。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.招标人有权根据工程的实际需要对投标人的分包范围做出调整，包括增减，投标人不能因此而提出任何经济索赔。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.投标人必须为职工办理意外伤害保险，并为施工场地内自有人员生命财产和施工机械设备办理保险，支付保险费用。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6</w:t>
      </w:r>
      <w:r>
        <w:rPr>
          <w:rFonts w:hint="eastAsia" w:ascii="黑体" w:hAnsi="黑体" w:eastAsia="黑体" w:cs="黑体"/>
          <w:color w:val="auto"/>
          <w:sz w:val="24"/>
          <w:highlight w:val="none"/>
        </w:rPr>
        <w:t>.投标人必须保证麦收、秋收阶段施工劳力充足，满足施工进度要求。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w:t>
      </w:r>
      <w:r>
        <w:rPr>
          <w:rFonts w:hint="eastAsia" w:ascii="黑体" w:hAnsi="黑体" w:eastAsia="黑体" w:cs="黑体"/>
          <w:color w:val="auto"/>
          <w:sz w:val="24"/>
          <w:szCs w:val="24"/>
          <w:highlight w:val="none"/>
        </w:rPr>
        <w:t>工人进场前劳务队负责人组织进行体检，身体有不适合建筑施工工作疾病的人员严禁进场务工</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highlight w:val="none"/>
        </w:rPr>
        <w:t>按照招标人《建筑劳务实名制管理暂行办法》的要求对劳务人员实行实名制管理，投标人必须遵守招标人关于禁止饮酒</w:t>
      </w:r>
      <w:r>
        <w:rPr>
          <w:rFonts w:hint="eastAsia" w:ascii="黑体" w:hAnsi="黑体" w:eastAsia="黑体" w:cs="黑体"/>
          <w:color w:val="auto"/>
          <w:sz w:val="24"/>
          <w:highlight w:val="none"/>
          <w:lang w:eastAsia="zh-CN"/>
        </w:rPr>
        <w:t>、斗殴、赌博等</w:t>
      </w:r>
      <w:r>
        <w:rPr>
          <w:rFonts w:hint="eastAsia" w:ascii="黑体" w:hAnsi="黑体" w:eastAsia="黑体" w:cs="黑体"/>
          <w:color w:val="auto"/>
          <w:sz w:val="24"/>
          <w:highlight w:val="none"/>
        </w:rPr>
        <w:t>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8</w:t>
      </w:r>
      <w:r>
        <w:rPr>
          <w:rFonts w:hint="eastAsia" w:ascii="黑体" w:hAnsi="黑体" w:eastAsia="黑体" w:cs="黑体"/>
          <w:color w:val="auto"/>
          <w:sz w:val="24"/>
          <w:highlight w:val="none"/>
        </w:rPr>
        <w:t>.分包合同必须由分包单位法定代表人签订，授权委托人无效。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9</w:t>
      </w:r>
      <w:r>
        <w:rPr>
          <w:rFonts w:hint="eastAsia" w:ascii="黑体" w:hAnsi="黑体" w:eastAsia="黑体" w:cs="黑体"/>
          <w:color w:val="auto"/>
          <w:sz w:val="24"/>
          <w:highlight w:val="none"/>
        </w:rPr>
        <w:t>.招标人按甲乙双方合同付款后，投标人不能支付人工及其它债务要求时，由投标人单位法定代表人自愿负全责，投标人承诺不追究招标人责任。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0</w:t>
      </w:r>
      <w:r>
        <w:rPr>
          <w:rFonts w:hint="eastAsia" w:ascii="黑体" w:hAnsi="黑体" w:eastAsia="黑体" w:cs="黑体"/>
          <w:color w:val="auto"/>
          <w:sz w:val="24"/>
          <w:highlight w:val="none"/>
        </w:rPr>
        <w:t>.若因投标人原因，投标人中途</w:t>
      </w:r>
      <w:r>
        <w:rPr>
          <w:rFonts w:hint="eastAsia" w:ascii="黑体" w:hAnsi="黑体" w:eastAsia="黑体" w:cs="黑体"/>
          <w:color w:val="auto"/>
          <w:sz w:val="24"/>
          <w:highlight w:val="none"/>
          <w:lang w:eastAsia="zh-CN"/>
        </w:rPr>
        <w:t>解除合同、</w:t>
      </w:r>
      <w:r>
        <w:rPr>
          <w:rFonts w:hint="eastAsia" w:ascii="黑体" w:hAnsi="黑体" w:eastAsia="黑体" w:cs="黑体"/>
          <w:color w:val="auto"/>
          <w:sz w:val="24"/>
          <w:highlight w:val="none"/>
        </w:rPr>
        <w:t>退场后，招标人按投标人完成工程量的60%进行结算，投标人无条件退场。投标人退场延误造成损失的，投标人负全部责任，损失从履约保证金中扣除。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.投标人不得将工程进行转包的，如投标人私自将分包工程进行转包，投标人立即无条件退场，招标人按投标人所完成工程量的60%费用结算，不再计取任何费用。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.投标人必须与招标人签订</w:t>
      </w:r>
      <w:r>
        <w:rPr>
          <w:rFonts w:hint="eastAsia" w:ascii="黑体" w:hAnsi="黑体" w:eastAsia="黑体" w:cs="黑体"/>
          <w:color w:val="000000" w:themeColor="text1"/>
          <w:sz w:val="24"/>
          <w:highlight w:val="none"/>
          <w14:textFill>
            <w14:solidFill>
              <w14:schemeClr w14:val="tx1"/>
            </w14:solidFill>
          </w14:textFill>
        </w:rPr>
        <w:t>安全协议书、消防协议书、施工合同承诺书。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.投标人必须服从建设单位及招标人安排，应严格服从招标人统一安排组织施工，不得影响后续分包项目施工。在必要时采取赶工措施，无条件压缩工期，并承担抢工费用。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 xml:space="preserve">.投标人应加强对已完工程的保护工作，同时必须注意对其他方已完工产品的保护，若造成其他方物品的损坏，投标人应予赔偿，具体额度由双方友好协商，协商不成时由招标人和被损坏方商议确定。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人应与其他分包方、总承包单位、监理单位、建设单位建立良好的合作关系，如因投标人原因造成一切纠纷，由投标人自行承担相关责任。投标人需负责验收相关事宜，保证验收通过并承担费用。投标人需负责承包范围内工程资料的编制，须符合现行规范、标准的规定，保证通过验收，验收合格后交付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6</w:t>
      </w:r>
      <w:r>
        <w:rPr>
          <w:rFonts w:hint="eastAsia" w:ascii="黑体" w:hAnsi="黑体" w:eastAsia="黑体" w:cs="黑体"/>
          <w:color w:val="auto"/>
          <w:sz w:val="24"/>
          <w:highlight w:val="none"/>
        </w:rPr>
        <w:t>.以上若有未尽事宜，应经双方协商一致，签定补充协议。</w:t>
      </w:r>
    </w:p>
    <w:p>
      <w:pPr>
        <w:rPr>
          <w:rFonts w:hint="eastAsia" w:ascii="黑体" w:hAnsi="黑体" w:eastAsia="黑体" w:cs="黑体"/>
          <w:color w:val="auto"/>
          <w:sz w:val="24"/>
          <w:highlight w:val="none"/>
        </w:rPr>
      </w:pPr>
      <w:r>
        <w:rPr>
          <w:rFonts w:hint="eastAsia" w:ascii="黑体" w:hAnsi="黑体" w:eastAsia="黑体" w:cs="黑体"/>
          <w:color w:val="auto"/>
          <w:sz w:val="24"/>
          <w:highlight w:val="none"/>
        </w:rPr>
        <w:br w:type="page"/>
      </w:r>
    </w:p>
    <w:p>
      <w:pPr>
        <w:pStyle w:val="2"/>
        <w:rPr>
          <w:rFonts w:hint="eastAsia" w:ascii="黑体" w:hAnsi="黑体" w:eastAsia="黑体" w:cs="黑体"/>
          <w:color w:val="auto"/>
          <w:highlight w:val="none"/>
        </w:rPr>
      </w:pPr>
    </w:p>
    <w:p>
      <w:pPr>
        <w:keepNext w:val="0"/>
        <w:keepLines w:val="0"/>
        <w:pageBreakBefore w:val="0"/>
        <w:shd w:val="clear" w:color="auto" w:fill="auto"/>
        <w:kinsoku/>
        <w:topLinePunct w:val="0"/>
        <w:bidi w:val="0"/>
        <w:spacing w:line="360" w:lineRule="auto"/>
        <w:rPr>
          <w:rFonts w:hint="eastAsia"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附件一</w:t>
      </w:r>
    </w:p>
    <w:p>
      <w:pPr>
        <w:pStyle w:val="35"/>
        <w:keepNext w:val="0"/>
        <w:keepLines w:val="0"/>
        <w:pageBreakBefore w:val="0"/>
        <w:shd w:val="clear" w:color="auto" w:fill="auto"/>
        <w:kinsoku/>
        <w:topLinePunct w:val="0"/>
        <w:bidi w:val="0"/>
        <w:spacing w:line="360" w:lineRule="auto"/>
        <w:ind w:left="0" w:leftChars="0" w:firstLine="0" w:firstLineChars="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见招标文件</w:t>
      </w:r>
      <w:r>
        <w:rPr>
          <w:rFonts w:hint="eastAsia" w:ascii="黑体" w:hAnsi="黑体" w:eastAsia="黑体" w:cs="黑体"/>
          <w:color w:val="auto"/>
          <w:sz w:val="28"/>
          <w:szCs w:val="28"/>
          <w:highlight w:val="none"/>
        </w:rPr>
        <w:t>报价包含的主要内容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p>
    <w:p>
      <w:pPr>
        <w:keepNext w:val="0"/>
        <w:keepLines w:val="0"/>
        <w:pageBreakBefore w:val="0"/>
        <w:shd w:val="clear" w:color="auto" w:fill="auto"/>
        <w:kinsoku/>
        <w:topLinePunct w:val="0"/>
        <w:bidi w:val="0"/>
        <w:spacing w:line="360" w:lineRule="auto"/>
        <w:rPr>
          <w:rFonts w:hint="eastAsia" w:ascii="黑体" w:hAnsi="黑体" w:eastAsia="黑体" w:cs="黑体"/>
          <w:b/>
          <w:bCs/>
          <w:color w:val="auto"/>
          <w:sz w:val="28"/>
          <w:szCs w:val="28"/>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pStyle w:val="35"/>
        <w:keepNext w:val="0"/>
        <w:keepLines w:val="0"/>
        <w:pageBreakBefore w:val="0"/>
        <w:shd w:val="clear" w:color="auto" w:fill="auto"/>
        <w:kinsoku/>
        <w:topLinePunct w:val="0"/>
        <w:bidi w:val="0"/>
        <w:spacing w:line="360" w:lineRule="auto"/>
        <w:ind w:firstLine="528"/>
        <w:rPr>
          <w:rFonts w:hint="eastAsia" w:ascii="黑体" w:hAnsi="黑体" w:eastAsia="黑体" w:cs="黑体"/>
          <w:color w:val="auto"/>
          <w:highlight w:val="none"/>
        </w:rPr>
      </w:pPr>
    </w:p>
    <w:p>
      <w:pPr>
        <w:rPr>
          <w:rFonts w:hint="eastAsia" w:ascii="黑体" w:hAnsi="黑体" w:eastAsia="黑体" w:cs="黑体"/>
          <w:color w:val="auto"/>
          <w:highlight w:val="none"/>
        </w:rPr>
      </w:pPr>
      <w:r>
        <w:rPr>
          <w:rFonts w:hint="eastAsia" w:ascii="黑体" w:hAnsi="黑体" w:eastAsia="黑体" w:cs="黑体"/>
          <w:color w:val="auto"/>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附件</w:t>
      </w:r>
      <w:r>
        <w:rPr>
          <w:rFonts w:hint="eastAsia" w:ascii="黑体" w:hAnsi="黑体" w:eastAsia="黑体" w:cs="黑体"/>
          <w:b/>
          <w:color w:val="auto"/>
          <w:sz w:val="24"/>
          <w:szCs w:val="24"/>
          <w:highlight w:val="none"/>
          <w:lang w:val="en-US" w:eastAsia="zh-CN"/>
        </w:rPr>
        <w:t>二</w:t>
      </w:r>
    </w:p>
    <w:p>
      <w:pPr>
        <w:keepNext w:val="0"/>
        <w:keepLines w:val="0"/>
        <w:pageBreakBefore w:val="0"/>
        <w:shd w:val="clear" w:color="auto" w:fill="auto"/>
        <w:kinsoku/>
        <w:topLinePunct w:val="0"/>
        <w:bidi w:val="0"/>
        <w:spacing w:after="240" w:line="360" w:lineRule="auto"/>
        <w:jc w:val="center"/>
        <w:rPr>
          <w:rFonts w:hint="eastAsia" w:ascii="黑体" w:hAnsi="黑体" w:eastAsia="黑体" w:cs="黑体"/>
          <w:color w:val="auto"/>
          <w:sz w:val="24"/>
          <w:szCs w:val="24"/>
          <w:highlight w:val="none"/>
        </w:rPr>
      </w:pPr>
      <w:r>
        <w:rPr>
          <w:rStyle w:val="61"/>
          <w:rFonts w:hint="eastAsia" w:ascii="黑体" w:hAnsi="黑体" w:eastAsia="黑体" w:cs="黑体"/>
          <w:color w:val="auto"/>
          <w:sz w:val="24"/>
          <w:szCs w:val="24"/>
          <w:highlight w:val="none"/>
        </w:rPr>
        <w:t>安全生产、文明施工协议书</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甲    方：</w:t>
      </w:r>
      <w:r>
        <w:rPr>
          <w:rFonts w:hint="eastAsia" w:ascii="黑体" w:hAnsi="黑体" w:eastAsia="黑体" w:cs="黑体"/>
          <w:b/>
          <w:color w:val="auto"/>
          <w:sz w:val="24"/>
          <w:szCs w:val="24"/>
          <w:highlight w:val="none"/>
          <w:u w:val="single"/>
        </w:rPr>
        <w:t>河北建工集团</w:t>
      </w:r>
      <w:r>
        <w:rPr>
          <w:rFonts w:hint="eastAsia" w:ascii="黑体" w:hAnsi="黑体" w:eastAsia="黑体" w:cs="黑体"/>
          <w:b/>
          <w:color w:val="auto"/>
          <w:sz w:val="24"/>
          <w:szCs w:val="24"/>
          <w:highlight w:val="none"/>
          <w:u w:val="single"/>
          <w:lang w:val="en-US" w:eastAsia="zh-CN"/>
        </w:rPr>
        <w:t>建筑装饰工程</w:t>
      </w:r>
      <w:r>
        <w:rPr>
          <w:rFonts w:hint="eastAsia" w:ascii="黑体" w:hAnsi="黑体" w:eastAsia="黑体" w:cs="黑体"/>
          <w:b/>
          <w:color w:val="auto"/>
          <w:sz w:val="24"/>
          <w:szCs w:val="24"/>
          <w:highlight w:val="none"/>
          <w:u w:val="single"/>
        </w:rPr>
        <w:t xml:space="preserve">有限公司      </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乙    方：</w:t>
      </w:r>
      <w:r>
        <w:rPr>
          <w:rFonts w:hint="eastAsia" w:ascii="黑体" w:hAnsi="黑体" w:eastAsia="黑体" w:cs="黑体"/>
          <w:b/>
          <w:bCs/>
          <w:color w:val="auto"/>
          <w:sz w:val="24"/>
          <w:szCs w:val="24"/>
          <w:highlight w:val="none"/>
          <w:u w:val="single"/>
        </w:rPr>
        <w:t xml:space="preserve">                              </w:t>
      </w:r>
    </w:p>
    <w:p>
      <w:pPr>
        <w:spacing w:before="120" w:after="120" w:line="360" w:lineRule="auto"/>
        <w:jc w:val="both"/>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项目名称：</w:t>
      </w:r>
      <w:r>
        <w:rPr>
          <w:rFonts w:hint="eastAsia" w:ascii="黑体" w:hAnsi="黑体" w:eastAsia="黑体" w:cs="黑体"/>
          <w:b/>
          <w:color w:val="auto"/>
          <w:sz w:val="24"/>
          <w:szCs w:val="24"/>
          <w:highlight w:val="none"/>
          <w:u w:val="single"/>
          <w:lang w:val="en-US" w:eastAsia="zh-CN"/>
        </w:rPr>
        <w:t xml:space="preserve">河北省科学技术厅办公业务用房改造修缮项目 </w:t>
      </w:r>
    </w:p>
    <w:p>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rPr>
      </w:pP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为了全面履行甲、乙双方签订的建设工程施工分包合同，明确甲、乙双方的权利和义务，保障工程实施及相关作业人员的安全，依据国家和地方相关法律法规的规定，结合工程项目建设的实际情况，经甲乙双方协商一致，达成如下协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第一条甲、乙双方共同责任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一、甲、乙双方共同遵守国家和地方有关安全生产的法律、法规和规定，认真执行国家、行业、企业安全技术标准。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三、坚持“安全第一，预防为主，综合治理”的方针，不得违章指挥和违章作业。在组织施工生产时先落实安全保护措施，防止事故发生。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四、抓好安全教育；严肃安全纪律；规范安全行为；净化作业环境，禁止野蛮施工，防止施工扰民。</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五、发生事故，立即采取措施保护现场，抢救伤员，防止事故扩大，并应分别及时报告上级主管部门组织事故调查小组，查清事故原因，确定事故责任，按照“四不放过”的原则拟订改进措施，提出对事故责任者的处理意见。</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第二条  甲方的具体责任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一、甲方对施工现场安全管理负责。组织指挥现场安全生产，向乙方公布本企业、本施工现场安全生产规章制度。检查乙方安全生产保证体系和规章制度，对乙方安全生产实施监督管理。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二、编制工程项目安全施工组织设计，并分解到乙方分包项目。组织指导乙方编制分包工程内容的安全施工方案，制定安全技术措施并监督实施。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三、对乙方现场职工进行登记造册，复验身份证件，发放胸卡，按名单进行“三级”安全教育，建立安全教育档案。对分包单位的特种作业人员资格进行验证。协助乙方做好特种作业人员的培训、考核、持证上岗，制止非特种作业人员从事特种作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四、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五、对乙方自带机具、设备、安全防护用品等进行技术指标、安全性能检验，合格者方可进入施工现场。监督乙方正确安装使用和拆除。</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六、对乙方施工工序，操作岗位的安全行为进行日常监督检查，纠正违章指挥和违章作业。发现严重违章违纪和事故隐患，立即责令停工，监督整改并按双方商定的管理办法进行处理。情节严重的甲方有权终止合同，清退出场，所造成的一切经济损失由乙方承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七、对施工现场的各种安全设施和劳动保护用品定期检查和维护，及时消除隐患，保证其安全有效。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八、提供符合卫生、通风、照明等要求的职工生活环境，在容易发生火灾的地区，设置灵敏有效的消防器材。</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第三条 乙方的具体责任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乙方在甲方统一指挥监督下对本单位施工安全工作直接负责。按其职责分工，具体履行以下责任：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一、在乙方施工过程中，甲方工作人员有违章指挥、强令冒险作业的行为，乙方有权制止违章行为，并提出批评、拒绝执行以及检举、控告的权利；</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在施工过程中，乙方必须自觉遵守法纪，遵守甲方安全管理规章制度、措施、规定。严格遵守安全操作规程。接受甲方的指挥和监督，参加工地安全生产领导机构，出席安全工作会议，执行会议决定。对违反本条款所造成的损失和后果，由乙方承担。情节严重的甲方有权终止合同。</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乙方的施工人员应登记造册，如实向甲方报告，接受甲方场前的安全教育，有人员调整时，要迅速报告甲方，并进行安全教育，未经安全教育的，不得进入施工现场，不得录用无身份证件的人员和未满十六岁的童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四、乙方必须为其招收的外地务工人员办理所需的一切必要手续和证件。</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五、按规定要求设置安全技术管理人员，负责操作中的安全检查。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六、负责班前安全教育和工种交换的安全教育。下达施工任务时，以书面形式向施工人员进行有针对性的安全技术交底，交底由双方人员签字备案并监督交底内容的实施，并检查操作人员安全着装，发生交叉作业时，应先报告甲方，并进行监护。特殊工种作业人员必须依法持证上岗，建立特殊工种作业人员登记台帐。不安排非特殊工种人员从事特殊工种作业，不安排患有高血压、心脏病及其他不适于高处作业的人员从事高处作业。严格按照安全技术交底要求进行施工，否则出现人身伤亡事故由乙方自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在工作期间，乙方自带或外租的电气设备、机械、工器具、架设机具、安全防护用品等，必须符合安全技术标准的要求，经甲方安全管理人员验收合格后方可进场。凡未经验收批准，擅自投入使用，由此造成的损失，由乙方承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九、在施工期内，乙方的生活区要符合甲方文明工地的要求，搞好并保持宿舍、食堂等处的环境卫生。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十、在容易发生火灾的地区施工动火时，应事前申请，办理动火手续，并采取有效的防护措施，才得施工。存储、使用易燃易爆器材时，应当采用特殊的消防安全措施。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十一、乙方人员必须遵守劳动纪律，不违章指挥和违章操作在工作中按规定正确佩带和使用个人防护用品，严禁袒胸露背，穿拖鞋上岗，严禁在宿舍内私拉乱接电线；冬季，严禁在宿舍内使用电炉子、碘钨灯、大灯泡或自制取暖设备等方式取暖；夏季，严禁到河塘中游泳、洗澡。凡乙方人员违反本</w:t>
      </w:r>
      <w:r>
        <w:rPr>
          <w:rFonts w:hint="eastAsia" w:ascii="黑体" w:hAnsi="黑体" w:eastAsia="黑体" w:cs="黑体"/>
          <w:color w:val="auto"/>
          <w:sz w:val="24"/>
          <w:szCs w:val="24"/>
          <w:highlight w:val="none"/>
          <w:lang w:val="en-US" w:eastAsia="zh-CN"/>
        </w:rPr>
        <w:t>协议所有</w:t>
      </w:r>
      <w:r>
        <w:rPr>
          <w:rFonts w:hint="eastAsia" w:ascii="黑体" w:hAnsi="黑体" w:eastAsia="黑体" w:cs="黑体"/>
          <w:color w:val="auto"/>
          <w:sz w:val="24"/>
          <w:szCs w:val="24"/>
          <w:highlight w:val="none"/>
        </w:rPr>
        <w:t>条款规定，所造成的损失</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责任</w:t>
      </w:r>
      <w:r>
        <w:rPr>
          <w:rFonts w:hint="eastAsia" w:ascii="黑体" w:hAnsi="黑体" w:eastAsia="黑体" w:cs="黑体"/>
          <w:color w:val="auto"/>
          <w:sz w:val="24"/>
          <w:szCs w:val="24"/>
          <w:highlight w:val="none"/>
        </w:rPr>
        <w:t>由乙方承担</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给甲方造成损失的应负责赔偿。</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十二、严格遵守国家法律法规的要求，因乙方的过错，造成甲方或他人财产或人身损害或甲方被处罚，乙方应负赔偿责任。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rPr>
        <w:t>第四条  本协议为合同的补充协议，随合同生效而生效，合同解除之日起，本协议自然失效，但因乙方违背协议，造成主合同终止，不影响本协议责任条款的效力。</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rPr>
        <w:t xml:space="preserve">    第五条  本协议一式三份，甲、乙双方各持一份，甲方上级主管部门备案一份。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甲方：（章）               乙方：（章）</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法定代表人：                    法定代表人：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或委托代理人：               或委托代理人：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                    年   月   日</w:t>
      </w:r>
    </w:p>
    <w:p>
      <w:pPr>
        <w:keepNext w:val="0"/>
        <w:keepLines w:val="0"/>
        <w:pageBreakBefore w:val="0"/>
        <w:shd w:val="clear" w:color="auto" w:fill="auto"/>
        <w:kinsoku/>
        <w:topLinePunct w:val="0"/>
        <w:bidi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附件</w:t>
      </w:r>
      <w:r>
        <w:rPr>
          <w:rFonts w:hint="eastAsia" w:ascii="黑体" w:hAnsi="黑体" w:eastAsia="黑体" w:cs="黑体"/>
          <w:b/>
          <w:color w:val="auto"/>
          <w:sz w:val="24"/>
          <w:szCs w:val="24"/>
          <w:highlight w:val="none"/>
          <w:lang w:val="en-US" w:eastAsia="zh-CN"/>
        </w:rPr>
        <w:t>三</w:t>
      </w:r>
    </w:p>
    <w:p>
      <w:pPr>
        <w:keepNext w:val="0"/>
        <w:keepLines w:val="0"/>
        <w:pageBreakBefore w:val="0"/>
        <w:shd w:val="clear" w:color="auto" w:fill="auto"/>
        <w:kinsoku/>
        <w:topLinePunct w:val="0"/>
        <w:bidi w:val="0"/>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kern w:val="0"/>
          <w:sz w:val="24"/>
          <w:szCs w:val="24"/>
          <w:highlight w:val="none"/>
        </w:rPr>
        <w:t>施工现场消防安全管理协议书</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甲    方：</w:t>
      </w:r>
      <w:r>
        <w:rPr>
          <w:rFonts w:hint="eastAsia" w:ascii="黑体" w:hAnsi="黑体" w:eastAsia="黑体" w:cs="黑体"/>
          <w:b/>
          <w:color w:val="auto"/>
          <w:sz w:val="24"/>
          <w:szCs w:val="24"/>
          <w:highlight w:val="none"/>
          <w:u w:val="single"/>
        </w:rPr>
        <w:t>河北建工集团</w:t>
      </w:r>
      <w:r>
        <w:rPr>
          <w:rFonts w:hint="eastAsia" w:ascii="黑体" w:hAnsi="黑体" w:eastAsia="黑体" w:cs="黑体"/>
          <w:b/>
          <w:color w:val="auto"/>
          <w:sz w:val="24"/>
          <w:szCs w:val="24"/>
          <w:highlight w:val="none"/>
          <w:u w:val="single"/>
          <w:lang w:val="en-US" w:eastAsia="zh-CN"/>
        </w:rPr>
        <w:t>建筑装饰工程有限</w:t>
      </w:r>
      <w:r>
        <w:rPr>
          <w:rFonts w:hint="eastAsia" w:ascii="黑体" w:hAnsi="黑体" w:eastAsia="黑体" w:cs="黑体"/>
          <w:b/>
          <w:color w:val="auto"/>
          <w:sz w:val="24"/>
          <w:szCs w:val="24"/>
          <w:highlight w:val="none"/>
          <w:u w:val="single"/>
        </w:rPr>
        <w:t xml:space="preserve">公司   </w:t>
      </w:r>
    </w:p>
    <w:p>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乙    方：</w:t>
      </w:r>
      <w:r>
        <w:rPr>
          <w:rFonts w:hint="eastAsia" w:ascii="黑体" w:hAnsi="黑体" w:eastAsia="黑体" w:cs="黑体"/>
          <w:b/>
          <w:color w:val="auto"/>
          <w:sz w:val="24"/>
          <w:szCs w:val="24"/>
          <w:highlight w:val="none"/>
          <w:u w:val="single"/>
        </w:rPr>
        <w:t xml:space="preserve">                           </w:t>
      </w:r>
    </w:p>
    <w:p>
      <w:pPr>
        <w:spacing w:before="120" w:after="120" w:line="360" w:lineRule="auto"/>
        <w:jc w:val="both"/>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项目名称：</w:t>
      </w:r>
      <w:r>
        <w:rPr>
          <w:rFonts w:hint="eastAsia" w:ascii="黑体" w:hAnsi="黑体" w:eastAsia="黑体" w:cs="黑体"/>
          <w:b/>
          <w:color w:val="auto"/>
          <w:sz w:val="24"/>
          <w:szCs w:val="24"/>
          <w:highlight w:val="none"/>
          <w:u w:val="single"/>
          <w:lang w:val="en-US" w:eastAsia="zh-CN"/>
        </w:rPr>
        <w:t xml:space="preserve">河北省科学技术厅办公业务用房改造修缮项目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为了贯彻“安全第一，消防结合”的方针，切实加强和规范施工现场消防安全管理，进一步做好消防工作，逐级建立消防安全责任制，保证安全生产的顺利进行，维护社会稳定和项目工作秩序，明确甲、乙双方安全生产的权利和义务，约束不安全状态的行为，依据贯彻《中华人民共和国消防法》、《建筑工程施工现场消防安全技术规范》《机关、团体、企业、事业单位消防安全管理规定》等法律、法规，本着“谁主管、谁负责”的原则，特签订本协议书，双方应共同严格遵守和执行本协议书规定的权利、责任和义务，确保施工现场的消防安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第一条甲、乙双方共同责任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1、遵守国家和地方有关消防安全的法律、法规和规定，认真执行国家、行业、企业消防安全标准。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在甲方统一领导下，组成施工现场消防安全领导机构，定期召开消防安全工作会议，建立健全安全生产责任制度和群防群治制度，制定各项安全生产规章和安全生产目标责任，形成一体化的安全生产监督管理体系和保证体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3、坚持"安全第一、消防结合"的方针，组织施工生产时首先落实安全保护措施，不违章指挥和违章作业，防止火灾事故发生。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4、抓好消防法规、制度、操作规程和施工现场火灾危险性的教育，进行消防安全知识教育，报火警、扑救初起火灾和自救逃生知识和技能的教育，严肃安全纪律，规范安全行为。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加强消防安全知识培训，使全体员工都熟知必要的安全消防知识，会报火警，会使用消防器材，会组织人员疏散。采取多种形式广泛宣传消防法律法规，做好消防安全基本知识的培训工作，发生火灾事故，要立即向消防部门、有关部门、甲方报告，并迅速组织扑救，积极协助有关部门进行调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6、进入现场5日内双方必须签定本协议，明确双方责任与权利。负责建立健全本单位的防火组织及义务消防队组织，明确消防安全责任人，消防安全管理人，专兼职消防管理人员。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第二条甲方的具体责任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建立健全贯彻落实各项消防安全管理制度和操作规程，并对施工现场的消防安全进行全面的监督管理、检查和指导。督导乙方施工现场逐级健全岗位消防安全职责，确定现场各职能部门、各工种和各区域、工段等各级岗位消防安全责任人，建立施工现场的各级消防安全组织机构和义务消防队组织，对重点工种人员如：电气焊等人员进行登记，建立档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督导乙方通过多种形式开展经常性的消防安全宣传教育，对现场所有人员进行消防安全培训，并有培训记录和登记，对采用新工艺、新技术、新材料、或者使用新设备有火灾危险性的，要对从业人员进行专门的消防安全教育和培训，对不接受培训、教育、考核或考核不合格以及经审查有其他不符合规定要求的人员，有权拒绝进入施工现场或清退出现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3、督导乙方定期召开施工现场消防安全会议，有针对性的部署和做好各阶段的防火工作，协调和处理施工现场的有关消防安全问题。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督导检查乙方落实有关动用明火的管理制度，动用明火审批手续，对电气焊工作业人员，进行动用明火的操作交底等情况检查，根据施工情况检查纠正不符合规定行为，提出有针对性的防火措施，及时解决消防工作中存在的问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5、负责检查乙方施工现场、仓库等，按有关规定配备相应的消防设施和灭火器材，消防应急疏散通道和指示标志，制定整体的灭火和应急疏散预案，按照规定至少每年进行一次演练等情况。</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负责组织对乙方消防安全检查，对施工现场、用火、用电，使用易燃易爆化学危险物品，仓库材料存储和易燃易爆化学危险物品及易燃可燃材料采取定期和不定期检查的方式对进行监督检查和指导。发现火灾隐患，及时督促乙方按照定人、定时、定措施落实整改。对违章指挥、违章操作等违章违纪行为进行制止、纠正。在检查过程中对违章行为，甲方可视其情节轻重，依照本单位安全生产奖惩制度，给予责令整改、停工整顿、勒令退场、支付违约金等相应的处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7、发生火灾应及时报警，迅速组织扑救和人员疏散。紧急情况下乙方的相关的人员及物资甲方有权无偿调用。积极配合各级消防监督检查机关的检查，参与对火灾事故的调查和处理。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第三条乙方的具体责任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贯彻落实国家有关消防安全的各项法律、法规、规定的要求并认真执行，接受甲方和公安、消防部门的安全检查。执行甲方的消防安全管理制度及安全生产责任制度、安全生产管理和建筑安装工人安全操作规程制度，对所属施工现场区域的消防安全管理负总责。</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针对本工程特点建立施工现场专项消防安全管理制度，消防安全负责人。按照甲方的要求建立自身的定期和不定期的消防安全检查制度，并严格贯彻落实。积极配合并服从各级消防机关、部门及甲方的消防安全监督、检查和管理，对于查出的防火安全问题要及时进行整改，并将整改情况书面报检查部门备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负责对在施人员进行消防法规、制度、操作规程和施工现场火灾危险性的教育。进行报火警、扑救初起火灾和自救逃生知识和技能的教育，对施工现场采用的新工艺、新技术、新材料、或者使用的新设备必须了解，掌握其安全消防技术特性，提高消防安全意识，员工需要经培训教育后方可上岗作业，并有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必须配备消防安全管理人员，按照乙方人数的20%建立义务消防队，班组设义务消防员。义务消防队要熟悉消防器材和设施的位置，熟知使用方法，制定消防应急预案，保证所施工区域内的消防设施、器材等完好无损灵敏有效。现场堆放材料，严禁圈占、埋压、私自动用消防器材和设施，及时清理各种易燃易爆物品，确保消防应急通道畅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为甲方提供准确的人员花名册和消防安全组织机构名单及特殊工种的证件复印件相关资料，若人员需要变动，必须提出计划报告甲方更新花名册，对新进场人员进行三级安全教育，考核合格后方可上岗。在施工区域内，尤其是重点部位要按照规定配备相应的灭火器材，并保证灵敏有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乙方作业人员必须遵守各项安全生产管理制度，遵守安全操作规程，违反消防安全管理应当支付违约金，乙方拒绝在违约金确认单上签字或对甲方安全生产管理工作态度恶劣的，则应当支付双倍违约金。违约金以现金形式或在乙方应得工程款中扣除，乙方要依照甲方安全生产管理规定，对违章人员进行处理，而且在其再次作业前要从新进行安全生产教育并有教育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7、按有关规定，严禁使用可燃材料做分割和围挡在建工程内作为住宿。</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严禁在在建工程内设立仓库，存放油漆、稀料、乙炔气、氧气瓶、防水卷材等易燃易爆、化学危险物品、剧毒物品。使用上述材料、物品必须按规定单独设库存放并保持符合规定间隔距离。库存和使用易燃易爆材料、化学危险品，必须严格执行保管制度和领退料手续，做好相应的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服从甲方的安全生产管理工作，执行甲方各项安全管理规章制度。因乙方不服从甲方管理导致生产安全事故的，由乙方承担全部责任。乙方应经常进行自我防火和安全检查，及时制止、纠正各种违章用火、用电和违章操作的行为。在防火安全检查中发现的消防隐患及问题，应及时采取必要的安全措施进行整改，消除各类隐患。</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电气焊、气焊、气割等特种作业人员，必须持证上岗，明火作业前操作者本人必须事先通过项目部办理动火证审批手续，不得由他人代理。在操作前要对作业周边环境进行观察，要及时清除周围易燃可燃物，配备灭火器材或灭火用水，设专人看护，禁止非焊工从事电气焊操作。确保电气焊割产生的火花、焊渣有结档和封堵措施，并避免与易燃危险性作业同时交叉进行。</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作业人员有权对施工现场的作业条件、作业程序和作业方式中存在的消防隐患提出建议。在施工中发生危及人身安全的紧急情况时，作业人员有权立即停止作业或者在采取必要的应急措施后撤离危险区域。乙方必须给予支持并提供安全保障。</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本工程施工期间严格遵守门卫出入制度，服从检查。不得发生打架、欧斗、流氓、赌博、盗窃、吸毒等违法犯罪活动，不得参与任何邪教组织，不得窝藏可疑人及赃物，不得传播淫秽物品，不得妨碍公安部门的正常检查工作。若有人员违反，乙方自行解决并承担一切责任，给甲方造成的社会影响承担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发生火灾事故，要立即向消防部门、有关部门、甲方报告，并迅速组织扑救，积极协助有关部门进行调查，如发生迟报或隐瞒不报造成严重后果的，乙方要承担相应责任。因乙方责任造成的火灾事故，导致甲方或第三方人身伤亡或经济损失的，乙方承担全部经济损失和法律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第四条协议有效期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1、本协议为合同的附件，自主合同生效之日起生效，因乙方违背协议，造成主合同终止，不影响本协议责任条款的效力。</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b/>
          <w:bCs/>
          <w:color w:val="auto"/>
          <w:sz w:val="24"/>
          <w:szCs w:val="24"/>
          <w:highlight w:val="none"/>
        </w:rPr>
        <w:t>本协议一式三份，甲、乙双方各持一份，甲方上级主管部门备案一份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甲 方：（签章）河北建工集团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乙 方：（签章）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1680" w:firstLineChars="7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建筑装饰工程</w:t>
      </w:r>
      <w:r>
        <w:rPr>
          <w:rFonts w:hint="eastAsia" w:ascii="黑体" w:hAnsi="黑体" w:eastAsia="黑体" w:cs="黑体"/>
          <w:color w:val="auto"/>
          <w:sz w:val="24"/>
          <w:szCs w:val="24"/>
          <w:highlight w:val="none"/>
        </w:rPr>
        <w:t>有限公司</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代表人：                                 代表人：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电 话：                                  电 话：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720" w:firstLineChars="3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月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日                             年   月   日</w:t>
      </w:r>
    </w:p>
    <w:p>
      <w:pPr>
        <w:keepNext w:val="0"/>
        <w:keepLines w:val="0"/>
        <w:pageBreakBefore w:val="0"/>
        <w:widowControl/>
        <w:shd w:val="clear" w:color="auto" w:fill="auto"/>
        <w:kinsoku/>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24"/>
          <w:szCs w:val="24"/>
          <w:highlight w:val="none"/>
          <w:lang w:eastAsia="zh-CN"/>
        </w:rPr>
      </w:pPr>
      <w:r>
        <w:rPr>
          <w:rFonts w:hint="eastAsia" w:ascii="黑体" w:hAnsi="黑体" w:eastAsia="黑体" w:cs="黑体"/>
          <w:b/>
          <w:color w:val="auto"/>
          <w:sz w:val="24"/>
          <w:szCs w:val="24"/>
          <w:highlight w:val="none"/>
        </w:rPr>
        <w:t>附件</w:t>
      </w:r>
      <w:r>
        <w:rPr>
          <w:rFonts w:hint="eastAsia" w:ascii="黑体" w:hAnsi="黑体" w:eastAsia="黑体" w:cs="黑体"/>
          <w:b/>
          <w:color w:val="auto"/>
          <w:sz w:val="24"/>
          <w:szCs w:val="24"/>
          <w:highlight w:val="none"/>
          <w:lang w:val="en-US" w:eastAsia="zh-CN"/>
        </w:rPr>
        <w:t>四</w:t>
      </w:r>
    </w:p>
    <w:p>
      <w:pPr>
        <w:keepNext w:val="0"/>
        <w:keepLines w:val="0"/>
        <w:pageBreakBefore w:val="0"/>
        <w:shd w:val="clear" w:color="auto" w:fill="auto"/>
        <w:kinsoku/>
        <w:topLinePunct w:val="0"/>
        <w:bidi w:val="0"/>
        <w:spacing w:line="360"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承 诺 书</w:t>
      </w:r>
    </w:p>
    <w:p>
      <w:pPr>
        <w:keepNext w:val="0"/>
        <w:keepLines w:val="0"/>
        <w:pageBreakBefore w:val="0"/>
        <w:shd w:val="clear" w:color="auto" w:fill="auto"/>
        <w:kinsoku/>
        <w:topLinePunct w:val="0"/>
        <w:bidi w:val="0"/>
        <w:spacing w:line="360" w:lineRule="auto"/>
        <w:ind w:firstLine="4920" w:firstLineChars="2050"/>
        <w:rPr>
          <w:rFonts w:hint="eastAsia" w:ascii="黑体" w:hAnsi="黑体" w:eastAsia="黑体" w:cs="黑体"/>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我单位一旦签订合同，施工过程中将不再以任何理由涨价，按合同约定付款后，我单位不能支付人工及其它债务要求时，由我单位法人代表自愿负全责，与</w:t>
      </w:r>
      <w:r>
        <w:rPr>
          <w:rFonts w:hint="eastAsia" w:ascii="黑体" w:hAnsi="黑体" w:eastAsia="黑体" w:cs="黑体"/>
          <w:color w:val="auto"/>
          <w:sz w:val="24"/>
          <w:szCs w:val="24"/>
          <w:highlight w:val="none"/>
          <w:lang w:val="en-US" w:eastAsia="zh-CN"/>
        </w:rPr>
        <w:t>发包方</w:t>
      </w:r>
      <w:r>
        <w:rPr>
          <w:rFonts w:hint="eastAsia" w:ascii="黑体" w:hAnsi="黑体" w:eastAsia="黑体" w:cs="黑体"/>
          <w:color w:val="auto"/>
          <w:sz w:val="24"/>
          <w:szCs w:val="24"/>
          <w:highlight w:val="none"/>
        </w:rPr>
        <w:t>无任何责任。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再我单位保证工人不闹事，不到有关部门上访，如有一次自愿罚款</w:t>
      </w:r>
      <w:r>
        <w:rPr>
          <w:rFonts w:hint="eastAsia" w:ascii="黑体" w:hAnsi="黑体" w:eastAsia="黑体" w:cs="黑体"/>
          <w:color w:val="auto"/>
          <w:sz w:val="24"/>
          <w:szCs w:val="24"/>
          <w:highlight w:val="none"/>
          <w:lang w:val="en-US" w:eastAsia="zh-CN"/>
        </w:rPr>
        <w:t>五万元</w:t>
      </w:r>
      <w:r>
        <w:rPr>
          <w:rFonts w:hint="eastAsia" w:ascii="黑体" w:hAnsi="黑体" w:eastAsia="黑体" w:cs="黑体"/>
          <w:color w:val="auto"/>
          <w:sz w:val="24"/>
          <w:szCs w:val="24"/>
          <w:highlight w:val="none"/>
        </w:rPr>
        <w:t>。</w:t>
      </w: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wordWrap w:val="0"/>
        <w:topLinePunct w:val="0"/>
        <w:bidi w:val="0"/>
        <w:snapToGrid/>
        <w:spacing w:line="360" w:lineRule="auto"/>
        <w:ind w:firstLine="480" w:firstLineChars="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承 诺 </w:t>
      </w:r>
      <w:r>
        <w:rPr>
          <w:rFonts w:hint="eastAsia" w:ascii="黑体" w:hAnsi="黑体" w:eastAsia="黑体" w:cs="黑体"/>
          <w:color w:val="auto"/>
          <w:sz w:val="24"/>
          <w:szCs w:val="24"/>
          <w:highlight w:val="none"/>
        </w:rPr>
        <w:t>方（章）：</w:t>
      </w:r>
      <w:r>
        <w:rPr>
          <w:rFonts w:hint="eastAsia" w:ascii="黑体" w:hAnsi="黑体" w:eastAsia="黑体" w:cs="黑体"/>
          <w:color w:val="auto"/>
          <w:sz w:val="24"/>
          <w:szCs w:val="24"/>
          <w:highlight w:val="none"/>
          <w:lang w:val="en-US" w:eastAsia="zh-CN"/>
        </w:rPr>
        <w:t xml:space="preserve">                    </w:t>
      </w:r>
    </w:p>
    <w:p>
      <w:pPr>
        <w:keepNext w:val="0"/>
        <w:keepLines w:val="0"/>
        <w:pageBreakBefore w:val="0"/>
        <w:shd w:val="clear" w:color="auto" w:fill="auto"/>
        <w:kinsoku/>
        <w:wordWrap w:val="0"/>
        <w:topLinePunct w:val="0"/>
        <w:bidi w:val="0"/>
        <w:snapToGrid/>
        <w:spacing w:line="360" w:lineRule="auto"/>
        <w:ind w:firstLine="480" w:firstLineChars="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代表人（</w:t>
      </w:r>
      <w:r>
        <w:rPr>
          <w:rFonts w:hint="eastAsia" w:ascii="黑体" w:hAnsi="黑体" w:eastAsia="黑体" w:cs="黑体"/>
          <w:color w:val="auto"/>
          <w:sz w:val="24"/>
          <w:szCs w:val="24"/>
          <w:highlight w:val="none"/>
          <w:lang w:val="en-US" w:eastAsia="zh-CN"/>
        </w:rPr>
        <w:t>签字</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 xml:space="preserve">                    </w:t>
      </w:r>
    </w:p>
    <w:p>
      <w:pPr>
        <w:pStyle w:val="35"/>
        <w:keepNext w:val="0"/>
        <w:keepLines w:val="0"/>
        <w:pageBreakBefore w:val="0"/>
        <w:shd w:val="clear" w:color="auto" w:fill="auto"/>
        <w:kinsoku/>
        <w:wordWrap w:val="0"/>
        <w:topLinePunct w:val="0"/>
        <w:bidi w:val="0"/>
        <w:snapToGrid/>
        <w:spacing w:line="360" w:lineRule="auto"/>
        <w:ind w:firstLine="3168" w:firstLineChars="1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联  系  电 话：                </w:t>
      </w:r>
    </w:p>
    <w:p>
      <w:pPr>
        <w:pStyle w:val="35"/>
        <w:keepNext w:val="0"/>
        <w:keepLines w:val="0"/>
        <w:pageBreakBefore w:val="0"/>
        <w:shd w:val="clear" w:color="auto" w:fill="auto"/>
        <w:kinsoku/>
        <w:wordWrap w:val="0"/>
        <w:topLinePunct w:val="0"/>
        <w:bidi w:val="0"/>
        <w:snapToGrid/>
        <w:spacing w:line="360" w:lineRule="auto"/>
        <w:ind w:firstLine="3168" w:firstLineChars="1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联  系  地 址：                </w:t>
      </w:r>
    </w:p>
    <w:p>
      <w:pPr>
        <w:keepNext w:val="0"/>
        <w:keepLines w:val="0"/>
        <w:pageBreakBefore w:val="0"/>
        <w:shd w:val="clear" w:color="auto" w:fill="auto"/>
        <w:kinsoku/>
        <w:wordWrap w:val="0"/>
        <w:topLinePunct w:val="0"/>
        <w:bidi w:val="0"/>
        <w:spacing w:line="360" w:lineRule="auto"/>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年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月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日</w:t>
      </w:r>
      <w:r>
        <w:rPr>
          <w:rFonts w:hint="eastAsia" w:ascii="黑体" w:hAnsi="黑体" w:eastAsia="黑体" w:cs="黑体"/>
          <w:color w:val="auto"/>
          <w:sz w:val="24"/>
          <w:szCs w:val="24"/>
          <w:highlight w:val="none"/>
          <w:lang w:val="en-US" w:eastAsia="zh-CN"/>
        </w:rPr>
        <w:t xml:space="preserve">          </w:t>
      </w:r>
    </w:p>
    <w:p>
      <w:pPr>
        <w:keepNext w:val="0"/>
        <w:keepLines w:val="0"/>
        <w:pageBreakBefore w:val="0"/>
        <w:shd w:val="clear" w:color="auto" w:fill="auto"/>
        <w:kinsoku/>
        <w:topLinePunct w:val="0"/>
        <w:bidi w:val="0"/>
        <w:spacing w:line="360" w:lineRule="auto"/>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附件</w:t>
      </w:r>
      <w:r>
        <w:rPr>
          <w:rFonts w:hint="eastAsia" w:ascii="黑体" w:hAnsi="黑体" w:eastAsia="黑体" w:cs="黑体"/>
          <w:b/>
          <w:color w:val="auto"/>
          <w:sz w:val="32"/>
          <w:szCs w:val="32"/>
          <w:highlight w:val="none"/>
          <w:lang w:val="en-US" w:eastAsia="zh-CN"/>
        </w:rPr>
        <w:t>五</w:t>
      </w:r>
    </w:p>
    <w:p>
      <w:pPr>
        <w:keepNext w:val="0"/>
        <w:keepLines w:val="0"/>
        <w:pageBreakBefore w:val="0"/>
        <w:shd w:val="clear" w:color="auto" w:fill="auto"/>
        <w:kinsoku/>
        <w:wordWrap w:val="0"/>
        <w:topLinePunct w:val="0"/>
        <w:bidi w:val="0"/>
        <w:spacing w:line="360" w:lineRule="auto"/>
        <w:ind w:left="218" w:leftChars="104" w:firstLine="392" w:firstLineChars="122"/>
        <w:jc w:val="center"/>
        <w:rPr>
          <w:rFonts w:ascii="宋体" w:hAnsi="宋体" w:eastAsia="宋体" w:cs="宋体"/>
          <w:sz w:val="18"/>
          <w:szCs w:val="18"/>
        </w:rPr>
      </w:pPr>
      <w:r>
        <w:rPr>
          <w:rFonts w:ascii="宋体" w:hAnsi="宋体" w:eastAsia="宋体" w:cs="宋体"/>
          <w:b/>
          <w:bCs/>
          <w:sz w:val="32"/>
          <w:szCs w:val="32"/>
        </w:rPr>
        <w:t>百分制评分细则</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一、质量（满分30分）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1、施工过程中出现质量问题，需项目部编制整改方案进行处理的，每发生一次扣0.01分；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2、同一部位验收，超过两次出现同一问题验收未通过的，每发生一次扣0.02分；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3、出现严重质量问题，收到监理或业主下发整改通知(监理通知、联系单)的，每发生一次扣0.05分；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4、出现严重质量问题，且无法自行处理，须由项目部协调外单位进行处理的，每发生一次扣0.05分；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5、出现严重质量问题，收到监理或业主下发罚款通知的，每发生一次扣0.1分（罚款另计）；</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6、出现质量事故，收到政府相关部门整改或处罚通知的，每发生一次扣0.3分（罚款另计）；</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二、安全（满分30分）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1、多次违反安全技术操作规程经警告、罚款后仍不改正的，每发生一次扣0.01分；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2、由于违反安全操作规程，被监理或业主通报、罚款的，每发生一次扣0.1分；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3、每发生一次因个人原因引起的轻伤事故，如骨折、碰掉牙齿、磕破头皮等，扣0.2分；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4、每发生一次被省、市、县、区级以上主管部门通报批评、处理或扣分的，扣1分；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5、每发生一次一般及以上安全事故，扣1.5分；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三、材料（满分15分）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1、不按项目部要求办理收、领料手续，私自取料的，每发生一次扣0.01分；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2、用于安全文明施工的周转性材料，如围挡板、护角等，不及时回收并退回项目部的（丢失、损坏赔偿另计），每发生一次扣0.01分；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3、用于工程施工中的周转性材料，如模板、脚手架等，未经请示私自锯、裁，每发生一次扣0.05分；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四、进度（满分15分）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1、施工过程中未满足双方约定的周进度节点要求，每发生一次扣0.05分；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2、施工过程中未满足双方约定的月进度节点要求，每发生一次扣0.1分；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解释：每月为四周，若前三周未完成进度，第四周通过赶工措施完成了本月进度，则只扣前三周未完的分即0.05×3=0.15分；若四周都未完成、本月也未完成计划，则扣0.05×4+0.1=0.3分。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五、文明施工（满分10分）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1、施工现场不清扫、洒水，经项目部2次提醒未执行的，每发生一次扣0.01分；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2、材料摆放场地杂乱，未按要求限期整改到位的，每发生一次扣0.02分；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3、因现场文明施工未达到要求，收到监理或业主下发整改通知的，每发生一次扣0.05分；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4、因现场文明施工未达到要求，收到政府相关部门下发整改通知的，每发生一次扣0.1分；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5、因现场文明施工未达到要求，被政府相关部门下令整改、停工的，每发生一次扣1分；</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六、工程款按打分比例结算。</w:t>
      </w:r>
    </w:p>
    <w:p>
      <w:pPr>
        <w:keepNext w:val="0"/>
        <w:keepLines w:val="0"/>
        <w:pageBreakBefore w:val="0"/>
        <w:shd w:val="clear" w:color="auto" w:fill="auto"/>
        <w:kinsoku/>
        <w:wordWrap w:val="0"/>
        <w:topLinePunct w:val="0"/>
        <w:bidi w:val="0"/>
        <w:spacing w:line="360" w:lineRule="auto"/>
        <w:ind w:left="218" w:leftChars="104" w:firstLine="292" w:firstLineChars="122"/>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（打分分值/总分100分*审计结算款=应付结算款）。</w:t>
      </w:r>
    </w:p>
    <w:p>
      <w:pPr>
        <w:keepNext w:val="0"/>
        <w:keepLines w:val="0"/>
        <w:pageBreakBefore w:val="0"/>
        <w:widowControl w:val="0"/>
        <w:tabs>
          <w:tab w:val="left" w:pos="1755"/>
        </w:tabs>
        <w:kinsoku/>
        <w:wordWrap/>
        <w:overflowPunct/>
        <w:topLinePunct w:val="0"/>
        <w:autoSpaceDE/>
        <w:autoSpaceDN/>
        <w:bidi w:val="0"/>
        <w:adjustRightInd/>
        <w:snapToGrid/>
        <w:jc w:val="left"/>
        <w:textAlignment w:val="auto"/>
        <w:outlineLvl w:val="0"/>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附件六：</w:t>
      </w:r>
    </w:p>
    <w:p>
      <w:pPr>
        <w:keepNext w:val="0"/>
        <w:keepLines w:val="0"/>
        <w:pageBreakBefore w:val="0"/>
        <w:widowControl w:val="0"/>
        <w:tabs>
          <w:tab w:val="left" w:pos="1755"/>
        </w:tabs>
        <w:kinsoku/>
        <w:wordWrap/>
        <w:overflowPunct/>
        <w:topLinePunct w:val="0"/>
        <w:autoSpaceDE/>
        <w:autoSpaceDN/>
        <w:bidi w:val="0"/>
        <w:adjustRightInd/>
        <w:snapToGrid/>
        <w:spacing w:before="144" w:beforeLines="50" w:after="287" w:afterLines="100" w:line="288" w:lineRule="auto"/>
        <w:ind w:left="105" w:leftChars="50" w:right="105" w:rightChars="50"/>
        <w:jc w:val="center"/>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施工其</w:t>
      </w:r>
      <w:r>
        <w:rPr>
          <w:rFonts w:hint="eastAsia" w:ascii="黑体" w:hAnsi="黑体" w:eastAsia="黑体" w:cs="黑体"/>
          <w:b/>
          <w:bCs/>
          <w:color w:val="auto"/>
          <w:sz w:val="28"/>
          <w:szCs w:val="28"/>
          <w:highlight w:val="none"/>
          <w:lang w:val="en-US" w:eastAsia="zh-CN"/>
        </w:rPr>
        <w:t>它</w:t>
      </w:r>
      <w:r>
        <w:rPr>
          <w:rFonts w:hint="eastAsia" w:ascii="黑体" w:hAnsi="黑体" w:eastAsia="黑体" w:cs="黑体"/>
          <w:b/>
          <w:bCs/>
          <w:color w:val="auto"/>
          <w:sz w:val="28"/>
          <w:szCs w:val="28"/>
          <w:highlight w:val="none"/>
        </w:rPr>
        <w:t>相关要求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1、承包方应保证按</w:t>
      </w:r>
      <w:r>
        <w:rPr>
          <w:rFonts w:hint="eastAsia" w:ascii="黑体" w:hAnsi="黑体" w:eastAsia="黑体" w:cs="黑体"/>
          <w:b w:val="0"/>
          <w:bCs w:val="0"/>
          <w:color w:val="auto"/>
          <w:sz w:val="24"/>
          <w:szCs w:val="15"/>
          <w:highlight w:val="none"/>
          <w:lang w:val="en-US" w:eastAsia="zh-CN"/>
        </w:rPr>
        <w:t>石家庄市</w:t>
      </w:r>
      <w:r>
        <w:rPr>
          <w:rFonts w:hint="eastAsia" w:ascii="黑体" w:hAnsi="黑体" w:eastAsia="黑体" w:cs="黑体"/>
          <w:b w:val="0"/>
          <w:bCs w:val="0"/>
          <w:color w:val="auto"/>
          <w:sz w:val="24"/>
          <w:szCs w:val="15"/>
          <w:highlight w:val="none"/>
        </w:rPr>
        <w:t>绿色建设相关要求进行施工，水管、水龙带、洒水车、雾炮机、装运车等所有工具、机械必须符合</w:t>
      </w:r>
      <w:r>
        <w:rPr>
          <w:rFonts w:hint="eastAsia" w:ascii="黑体" w:hAnsi="黑体" w:eastAsia="黑体" w:cs="黑体"/>
          <w:b w:val="0"/>
          <w:bCs w:val="0"/>
          <w:color w:val="auto"/>
          <w:sz w:val="24"/>
          <w:szCs w:val="15"/>
          <w:highlight w:val="none"/>
          <w:lang w:val="en-US" w:eastAsia="zh-CN"/>
        </w:rPr>
        <w:t>石家庄市</w:t>
      </w:r>
      <w:r>
        <w:rPr>
          <w:rFonts w:hint="eastAsia" w:ascii="黑体" w:hAnsi="黑体" w:eastAsia="黑体" w:cs="黑体"/>
          <w:b w:val="0"/>
          <w:bCs w:val="0"/>
          <w:color w:val="auto"/>
          <w:sz w:val="24"/>
          <w:szCs w:val="15"/>
          <w:highlight w:val="none"/>
        </w:rPr>
        <w:t xml:space="preserve">标准、规范和相应文件要求；配备的垃圾运输车辆应为具有定位功能的全封闭环保型新能源专用运输车辆，不得遗撒并保持车身整洁； </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2、已施工工程（含部分完工及全部完工工程）未交付发包人之前，承包方负责已完工程的保护工作，保护期间发生损坏的，由承包方予以修复，费用由承包方承担；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3、非道路移动机械应按照《</w:t>
      </w:r>
      <w:r>
        <w:rPr>
          <w:rFonts w:hint="eastAsia" w:ascii="黑体" w:hAnsi="黑体" w:eastAsia="黑体" w:cs="黑体"/>
          <w:b w:val="0"/>
          <w:bCs w:val="0"/>
          <w:color w:val="auto"/>
          <w:sz w:val="24"/>
          <w:szCs w:val="15"/>
          <w:highlight w:val="none"/>
          <w:lang w:val="en-US" w:eastAsia="zh-CN"/>
        </w:rPr>
        <w:t>石家庄市</w:t>
      </w:r>
      <w:r>
        <w:rPr>
          <w:rFonts w:hint="eastAsia" w:ascii="黑体" w:hAnsi="黑体" w:eastAsia="黑体" w:cs="黑体"/>
          <w:b w:val="0"/>
          <w:bCs w:val="0"/>
          <w:color w:val="auto"/>
          <w:sz w:val="24"/>
          <w:szCs w:val="15"/>
          <w:highlight w:val="none"/>
        </w:rPr>
        <w:t>非道路移动机械污染备案登记实施细则》进行管理；相关人员应按照住房和城乡建设部、人力资源社会保障部制定的《建筑工人实名制管理办法（试行）》的要求，在施工现场全面落实建筑工人实名制；建设者工资保障金/农民工工资保障金须符合</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政策要求；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4、现场达到河北省安全文明工地及全国“建设工程项目施工安全生产标准化工地”要求。现场扬尘必须符合河北省施工场地扬尘排放标准（DB13/2934-2019）。</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5、所涉及的灰土和无机料拌合，应采用预拌措施，碾压过程中要洒水降尘；回填土进行环保检测并提供正式检测报告，相关检测费用由承包方承担。检测报告不合格，影响回填所产生费用由承包方承担。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6、标人应按经过审批的相关施工方案进行施工，未按照发包方要求的施工造成影响的有承包方承担损失。</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7、针对2020年初以来爆发的新型冠状病毒肺炎疫情承包方应做到严格按照国家、河北省、</w:t>
      </w:r>
      <w:r>
        <w:rPr>
          <w:rFonts w:hint="eastAsia" w:ascii="黑体" w:hAnsi="黑体" w:eastAsia="黑体" w:cs="黑体"/>
          <w:b w:val="0"/>
          <w:bCs w:val="0"/>
          <w:color w:val="auto"/>
          <w:sz w:val="24"/>
          <w:szCs w:val="15"/>
          <w:highlight w:val="none"/>
          <w:lang w:val="en-US" w:eastAsia="zh-CN"/>
        </w:rPr>
        <w:t>石家庄市</w:t>
      </w:r>
      <w:r>
        <w:rPr>
          <w:rFonts w:hint="eastAsia" w:ascii="黑体" w:hAnsi="黑体" w:eastAsia="黑体" w:cs="黑体"/>
          <w:b w:val="0"/>
          <w:bCs w:val="0"/>
          <w:color w:val="auto"/>
          <w:sz w:val="24"/>
          <w:szCs w:val="15"/>
          <w:highlight w:val="none"/>
        </w:rPr>
        <w:t>相关部门、发包方的指示及要求，配合发包方做好疫情应对工作，做好各项应对措施，并承担相关费用，制定完善的施工质量、进度保障方案，保障工程的顺利有序进行。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8、承包方必须按照国家、</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当地以及发包方《建筑劳务实名制管理暂行办法》的要求对劳务人员实行实名制管理，建设项目工程首件验收管理规定、工长安全质量责任制和相关惩戒工作机制、施工工序“三检制”等各项制度。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9、承包方必须按照现行国家及行业规范、标准、规程、发包方提供的正式施工图及技术交底施工作业，加强质量控制，确保合同约定的工程质量。</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每个分项工程正式施工前，建设、监理、设计、勘察、施工五方参建人员，对于涉及结构安全及使用功能的必须严格执行首件验收管理规定，将每一分部工程涉及的所有分项工程的第一个检验批或单元为首件验收的对象，对首件产品或分项工程验收，确认合格后方可进行大面积施工或批量生产、进行下道工序。包含但不限于模板及支架、钢筋、装配式结构、砌体结构、钢结构、钢管混凝土结构、型钢混凝土结构、铝合金结构、土方、边坡开挖及防护、地下防水等。如施工质量不得低于首件验收标准，如由此造成的损失由承包人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发包方视情况可要求承包方先做样板工程，其费用由承包方承担（不包含发包方提供的材料），此部分施工样板不单独计量。承包方施工质量不应低于样板标准，如施工中达不到样板标准，发包方有权解除合同，索赔费用。</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10、工长制：承包方班组长（亦称：工段长、工长、工班长等）是建设工程项目施工作业基层管理者，负责带领施工人员完成指定工作任务。</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11、建筑电工按工程项目建筑面积配备：</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（1）5万平方米以下的工程不少于2人；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（2）5万～10万平方米的工程不少于3人；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（3）10万平方米及以上的工程不少于5人。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12、安全生产管理人员数量要求：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承包方提供的现场管理人员质量员、安全员必须持证上岗，配备人员数量要满足国家及</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当地对劳务管理人员的要求。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13、河北建工集团</w:t>
      </w:r>
      <w:r>
        <w:rPr>
          <w:rFonts w:hint="eastAsia" w:ascii="黑体" w:hAnsi="黑体" w:eastAsia="黑体" w:cs="黑体"/>
          <w:b w:val="0"/>
          <w:bCs w:val="0"/>
          <w:color w:val="auto"/>
          <w:sz w:val="24"/>
          <w:szCs w:val="15"/>
          <w:highlight w:val="none"/>
          <w:lang w:val="en-US" w:eastAsia="zh-CN"/>
        </w:rPr>
        <w:t>建筑装饰工程有限公司</w:t>
      </w:r>
      <w:r>
        <w:rPr>
          <w:rFonts w:hint="eastAsia" w:ascii="黑体" w:hAnsi="黑体" w:eastAsia="黑体" w:cs="黑体"/>
          <w:b w:val="0"/>
          <w:bCs w:val="0"/>
          <w:color w:val="auto"/>
          <w:sz w:val="24"/>
          <w:szCs w:val="15"/>
          <w:highlight w:val="none"/>
        </w:rPr>
        <w:t>安全生产、文明施工协议书、施工现场消防安全管理协议书、承诺书。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14、为传承工匠精神、打造“</w:t>
      </w:r>
      <w:r>
        <w:rPr>
          <w:rFonts w:hint="eastAsia" w:ascii="黑体" w:hAnsi="黑体" w:eastAsia="黑体" w:cs="黑体"/>
          <w:b w:val="0"/>
          <w:bCs w:val="0"/>
          <w:color w:val="auto"/>
          <w:sz w:val="24"/>
          <w:szCs w:val="15"/>
          <w:highlight w:val="none"/>
          <w:lang w:val="en-US" w:eastAsia="zh-CN"/>
        </w:rPr>
        <w:t>高</w:t>
      </w:r>
      <w:r>
        <w:rPr>
          <w:rFonts w:hint="eastAsia" w:ascii="黑体" w:hAnsi="黑体" w:eastAsia="黑体" w:cs="黑体"/>
          <w:b w:val="0"/>
          <w:bCs w:val="0"/>
          <w:color w:val="auto"/>
          <w:sz w:val="24"/>
          <w:szCs w:val="15"/>
          <w:highlight w:val="none"/>
        </w:rPr>
        <w:t>质量”，承包人应根据工程特点配备一定数量的中、 高级工匠。中级工匠：有国家级及以上技能大赛获奖经历，有省部级技能大赛最高级别奖项 或前五名经历。或有大专及以上学历，部分特殊专业工种可以是中专学历，具有10年以上的 本专业工作从业经历，具有丰富的实操经验和一定的理论水平，技能水平可达到行业一流水 平。高级工匠：有国家级及以上技能大赛最高级别奖项或前十名经历，或有大专及以上学历， 部分特殊专业工种可以是中专学历，具有15年以上的本专业工作从业经历，具有丰富的实操 经验和一定的理论水平，技能水平可达到行业顶尖水平。</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15、承包方应无条件提供主要管理人员名单及资质证书。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16、其他关于分包的约定：1）所有分包单位的管理应按照《中国</w:t>
      </w:r>
      <w:r>
        <w:rPr>
          <w:rFonts w:hint="eastAsia" w:ascii="黑体" w:hAnsi="黑体" w:eastAsia="黑体" w:cs="黑体"/>
          <w:b w:val="0"/>
          <w:bCs w:val="0"/>
          <w:color w:val="auto"/>
          <w:sz w:val="24"/>
          <w:szCs w:val="15"/>
          <w:highlight w:val="none"/>
          <w:lang w:val="en-US" w:eastAsia="zh-CN"/>
        </w:rPr>
        <w:t>石家庄市</w:t>
      </w:r>
      <w:r>
        <w:rPr>
          <w:rFonts w:hint="eastAsia" w:ascii="黑体" w:hAnsi="黑体" w:eastAsia="黑体" w:cs="黑体"/>
          <w:b w:val="0"/>
          <w:bCs w:val="0"/>
          <w:color w:val="auto"/>
          <w:sz w:val="24"/>
          <w:szCs w:val="15"/>
          <w:highlight w:val="none"/>
        </w:rPr>
        <w:t>关于加强建设工程施工现场安全质量管理工作的指导意见》相关要求执行。2）分包单位安全质量负责人、工长（工班长、班组长）的基本能力要求和准入条件纳入合同文本中，要严格落实进场前筛选、面试、培训工作，要确保人员素质能力与</w:t>
      </w:r>
      <w:r>
        <w:rPr>
          <w:rFonts w:hint="eastAsia" w:ascii="黑体" w:hAnsi="黑体" w:eastAsia="黑体" w:cs="黑体"/>
          <w:b w:val="0"/>
          <w:bCs w:val="0"/>
          <w:color w:val="auto"/>
          <w:sz w:val="24"/>
          <w:szCs w:val="15"/>
          <w:highlight w:val="none"/>
          <w:lang w:val="en-US" w:eastAsia="zh-CN"/>
        </w:rPr>
        <w:t>建设单位要求</w:t>
      </w:r>
      <w:r>
        <w:rPr>
          <w:rFonts w:hint="eastAsia" w:ascii="黑体" w:hAnsi="黑体" w:eastAsia="黑体" w:cs="黑体"/>
          <w:b w:val="0"/>
          <w:bCs w:val="0"/>
          <w:color w:val="auto"/>
          <w:sz w:val="24"/>
          <w:szCs w:val="15"/>
          <w:highlight w:val="none"/>
        </w:rPr>
        <w:t>一致。分包单位应对正式进场的安全质量管理人员和工长签发授权文件。如现场发现未经发包人代表（甲方代表）及总监理工程师（或总监理工程师代表）书面同意的第三方进入现场施工，发包人有权采取勒令停工、驱逐出现场或解除合同等行动，因此造成的一切损失均由承包人承担。 经发包人书面同意的部分工程可以分包，但不能解除承包人任何责任和义务，承包人对 分包商承担连带责任，分包合同不得与发包人施工总承包合同发生抵触。分包现场派驻监督管理人员，保证合同履行。在分包工程开工前30天提交分包商营业执照、税务登记证、施工资质、其他业绩介绍、进退场时间等资料报监理审核，发包人审定后执行。分包单位的劳动用工符合国家、地方政府相关规定；且对所属劳务人员的工资及国家规定的社会保险等劳动报酬承担连带责任。</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17、建设工程施工扬尘污染防治总体要求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严格落实绿色施工体系要求。施工期严格落实网格环境监管责任制，施工单位要在施工现场出入口设置公示牌，全面落实围挡、硬化、冲洗、苦盖、土方湿法作业、密闭运输等“六个百分百”和视频监控、扬尘污染物在线监测、降尘监测等“三个全覆盖”措施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18、扬尘物料扬尘防治要求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严格落实建设工程施工扬尘污染防治总体要求。要划分物料区域和道路界限，及时清除散落的物料，保持物料区域堆放区域和道路整洁，场地进行硬化处理并及时清扫、清洗。物料堆场周边设置高于堆存物料的围挡、防风网等设施，并采取遮盖、喷淋等防尘措施。露天装卸作业的，应当采取洒水等防尘措施，采用密闭输送设备作业的，在装料、卸料处配备吸尘、喷淋等防尘设施，并正常运行。出口处应当硬化地面并设置车辆清洗保洁设施。储存易产生粉尘的粉状或者粒状物料的，应当采取入棚、入仓的方式封闭储存。鼓励采用入棚、入仓方式封闭储存块状物料。</w:t>
      </w:r>
    </w:p>
    <w:p>
      <w:pPr>
        <w:pStyle w:val="81"/>
        <w:keepNext w:val="0"/>
        <w:keepLines w:val="0"/>
        <w:pageBreakBefore w:val="0"/>
        <w:widowControl w:val="0"/>
        <w:numPr>
          <w:ilvl w:val="0"/>
          <w:numId w:val="4"/>
        </w:numPr>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适用于合同的其他规范性文件：</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《2019年大气污染综合治理工作方案》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 xml:space="preserve">《非道路移动机械污染专项治理方案》 </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《规划师单位负责制试行办法》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《建筑师负责制试行办法》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《程建设项目招标投标管理办法（试行）》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《配套服务项目建设及用地管理暂行 规定》</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《规划安全风险评估专业委员会章程》</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《城乡规划安全风险评估管理办法》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《关于进一步做好建设工程按项目参加工伤保险工作的通知》</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《建设工程施工 现场扬尘污染防治暂行办法》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《保障农民工工资支付条例》</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《关于进一步规范和加强低排放 非道路移动机械管理工作的通知》</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《临时建设管理指导意见》</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《河北省房屋建 筑和市政基础设施工程危险性较大的分部分项工程安全管理实施细则》</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《关于完善质量保障 体系提升建筑工程品质的指导意见》</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《施工场地扬尘排放标准》(DB13/2934-2019)、</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《河北实施用工承诺制的工作方案》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《关于划定移动源污染物低排放控制区的通告》</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《河北重型柴油车专项治理方案》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《河北扬尘面源污染综合治理攻坚战方案》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《河北移动源污染物低排放控制区实施方案》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《河北重型柴油车 污染防治管理制度（暂行）》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《绿色建材导则（试行）》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《施工场地全面落实“六个百分百”与“三个全覆 盖”技术方案（试行）》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《关于划定移动源污染物低排放控制区的通告》《建设工程项目施工期污染防控方案编写细则（试行）》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《工程建设智能管理规程 （试行）》及国家、河北省在施工期内必须执行的其他强制性规定及管理办法。</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未尽事宜</w:t>
      </w:r>
      <w:r>
        <w:rPr>
          <w:rFonts w:hint="eastAsia" w:ascii="黑体" w:hAnsi="黑体" w:eastAsia="黑体" w:cs="黑体"/>
          <w:b w:val="0"/>
          <w:bCs w:val="0"/>
          <w:color w:val="000000" w:themeColor="text1"/>
          <w:sz w:val="24"/>
          <w:szCs w:val="24"/>
          <w:highlight w:val="none"/>
          <w:lang w:eastAsia="zh-CN"/>
          <w14:textFill>
            <w14:solidFill>
              <w14:schemeClr w14:val="tx1"/>
            </w14:solidFill>
          </w14:textFill>
        </w:rPr>
        <w:t>分包人</w:t>
      </w:r>
      <w:r>
        <w:rPr>
          <w:rFonts w:hint="eastAsia" w:ascii="黑体" w:hAnsi="黑体" w:eastAsia="黑体" w:cs="黑体"/>
          <w:b w:val="0"/>
          <w:bCs w:val="0"/>
          <w:color w:val="000000" w:themeColor="text1"/>
          <w:sz w:val="24"/>
          <w:szCs w:val="24"/>
          <w:highlight w:val="none"/>
          <w14:textFill>
            <w14:solidFill>
              <w14:schemeClr w14:val="tx1"/>
            </w14:solidFill>
          </w14:textFill>
        </w:rPr>
        <w:t>还需满足</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《施工场地全面落实“六个百分百”与“三个全覆盖”技术方案（试行）》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《建设工程项目施工期污染防控方案编写细则（试行）》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《非道路移动机械排气污染物深度治理指导意见》</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《河北202</w:t>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2</w:t>
      </w:r>
      <w:r>
        <w:rPr>
          <w:rFonts w:hint="eastAsia" w:ascii="黑体" w:hAnsi="黑体" w:eastAsia="黑体" w:cs="黑体"/>
          <w:b w:val="0"/>
          <w:bCs w:val="0"/>
          <w:color w:val="000000" w:themeColor="text1"/>
          <w:sz w:val="24"/>
          <w:szCs w:val="24"/>
          <w:highlight w:val="none"/>
          <w14:textFill>
            <w14:solidFill>
              <w14:schemeClr w14:val="tx1"/>
            </w14:solidFill>
          </w14:textFill>
        </w:rPr>
        <w:t>年扬尘污染防治专项工作方案》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《河北机动车和非道路移动机械排放污染防治专项工作方案》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《非道路移动机械污染备案登记实施细则》</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《河北非道路移动机械污染专项治理方案》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《河北移动源污染物低排放控制区实施方案》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《河北重型柴油车污染防治管理实施细则(暂行)》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w:t>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河北</w:t>
      </w:r>
      <w:r>
        <w:rPr>
          <w:rFonts w:hint="eastAsia" w:ascii="黑体" w:hAnsi="黑体" w:eastAsia="黑体" w:cs="黑体"/>
          <w:b w:val="0"/>
          <w:bCs w:val="0"/>
          <w:color w:val="000000" w:themeColor="text1"/>
          <w:sz w:val="24"/>
          <w:szCs w:val="24"/>
          <w:highlight w:val="none"/>
          <w14:textFill>
            <w14:solidFill>
              <w14:schemeClr w14:val="tx1"/>
            </w14:solidFill>
          </w14:textFill>
        </w:rPr>
        <w:t>路移动机械污染备案登记实施细则》</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《关于加强建设工程施工现场安全质量》</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《河北20</w:t>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20</w:t>
      </w:r>
      <w:r>
        <w:rPr>
          <w:rFonts w:hint="eastAsia" w:ascii="黑体" w:hAnsi="黑体" w:eastAsia="黑体" w:cs="黑体"/>
          <w:b w:val="0"/>
          <w:bCs w:val="0"/>
          <w:color w:val="000000" w:themeColor="text1"/>
          <w:sz w:val="24"/>
          <w:szCs w:val="24"/>
          <w:highlight w:val="none"/>
          <w14:textFill>
            <w14:solidFill>
              <w14:schemeClr w14:val="tx1"/>
            </w14:solidFill>
          </w14:textFill>
        </w:rPr>
        <w:t>-202</w:t>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2</w:t>
      </w:r>
      <w:r>
        <w:rPr>
          <w:rFonts w:hint="eastAsia" w:ascii="黑体" w:hAnsi="黑体" w:eastAsia="黑体" w:cs="黑体"/>
          <w:b w:val="0"/>
          <w:bCs w:val="0"/>
          <w:color w:val="000000" w:themeColor="text1"/>
          <w:sz w:val="24"/>
          <w:szCs w:val="24"/>
          <w:highlight w:val="none"/>
          <w14:textFill>
            <w14:solidFill>
              <w14:schemeClr w14:val="tx1"/>
            </w14:solidFill>
          </w14:textFill>
        </w:rPr>
        <w:t>年秋季大气污染综合治理攻坚行动方案》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《河北建设工程质量检测管理暂行办法》</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t>《建设工程施工现场扬尘污染防治暂行办法》</w:t>
      </w:r>
    </w:p>
    <w:p>
      <w:pPr>
        <w:pStyle w:val="35"/>
        <w:keepNext w:val="0"/>
        <w:keepLines w:val="0"/>
        <w:pageBreakBefore w:val="0"/>
        <w:widowControl/>
        <w:kinsoku/>
        <w:wordWrap/>
        <w:overflowPunct w:val="0"/>
        <w:topLinePunct w:val="0"/>
        <w:autoSpaceDE w:val="0"/>
        <w:autoSpaceDN w:val="0"/>
        <w:bidi w:val="0"/>
        <w:adjustRightInd w:val="0"/>
        <w:snapToGrid/>
        <w:spacing w:line="288" w:lineRule="auto"/>
        <w:ind w:left="0" w:leftChars="0" w:firstLine="528" w:firstLineChars="200"/>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20、</w:t>
      </w:r>
      <w:r>
        <w:rPr>
          <w:rFonts w:hint="eastAsia" w:ascii="黑体" w:hAnsi="黑体" w:eastAsia="黑体" w:cs="黑体"/>
          <w:b w:val="0"/>
          <w:bCs w:val="0"/>
          <w:color w:val="auto"/>
          <w:kern w:val="2"/>
          <w:sz w:val="24"/>
          <w:szCs w:val="15"/>
          <w:highlight w:val="none"/>
          <w:lang w:val="en-US" w:eastAsia="zh-CN" w:bidi="ar-SA"/>
        </w:rPr>
        <w:t>分包人必须遵守发包人、建设单位对本工程的相关规定和关于施工方面的有关规定，不得野蛮施工。分包人必须主动熟悉石家庄地区政策文件，执行石家庄地区现行文件规定的内容，同时，也包含在工程实施工程中，执行石家庄地区新颁布的相关政策、文件规定的内容，分包人不得增加费用。</w:t>
      </w:r>
    </w:p>
    <w:p>
      <w:pPr>
        <w:keepNext w:val="0"/>
        <w:keepLines w:val="0"/>
        <w:pageBreakBefore w:val="0"/>
        <w:widowControl w:val="0"/>
        <w:kinsoku/>
        <w:wordWrap/>
        <w:overflowPunct/>
        <w:topLinePunct w:val="0"/>
        <w:autoSpaceDE/>
        <w:autoSpaceDN/>
        <w:bidi w:val="0"/>
        <w:adjustRightInd/>
        <w:snapToGrid/>
        <w:spacing w:line="288" w:lineRule="auto"/>
        <w:ind w:left="218" w:leftChars="104" w:firstLine="441" w:firstLineChars="122"/>
        <w:jc w:val="left"/>
        <w:textAlignment w:val="auto"/>
        <w:rPr>
          <w:rFonts w:hint="eastAsia" w:ascii="黑体" w:hAnsi="黑体" w:eastAsia="黑体" w:cs="黑体"/>
          <w:b/>
          <w:color w:val="auto"/>
          <w:sz w:val="36"/>
          <w:highlight w:val="none"/>
        </w:rPr>
      </w:pPr>
      <w:r>
        <w:rPr>
          <w:rFonts w:hint="eastAsia" w:ascii="黑体" w:hAnsi="黑体" w:eastAsia="黑体" w:cs="黑体"/>
          <w:b/>
          <w:color w:val="auto"/>
          <w:sz w:val="36"/>
          <w:highlight w:val="none"/>
        </w:rPr>
        <w:br w:type="page"/>
      </w:r>
    </w:p>
    <w:p>
      <w:pPr>
        <w:jc w:val="center"/>
        <w:rPr>
          <w:rFonts w:hint="eastAsia" w:ascii="黑体" w:hAnsi="黑体" w:eastAsia="黑体" w:cs="黑体"/>
          <w:b/>
          <w:color w:val="auto"/>
          <w:sz w:val="36"/>
          <w:highlight w:val="none"/>
        </w:rPr>
      </w:pPr>
    </w:p>
    <w:p>
      <w:pPr>
        <w:jc w:val="center"/>
        <w:rPr>
          <w:rFonts w:hint="eastAsia" w:ascii="黑体" w:hAnsi="黑体" w:eastAsia="黑体" w:cs="黑体"/>
          <w:b/>
          <w:color w:val="auto"/>
          <w:sz w:val="36"/>
          <w:highlight w:val="none"/>
        </w:rPr>
      </w:pPr>
      <w:r>
        <w:rPr>
          <w:rFonts w:hint="eastAsia" w:ascii="黑体" w:hAnsi="黑体" w:eastAsia="黑体" w:cs="黑体"/>
          <w:b/>
          <w:color w:val="auto"/>
          <w:sz w:val="36"/>
          <w:highlight w:val="none"/>
        </w:rPr>
        <w:t>五、投标文件格式</w:t>
      </w:r>
    </w:p>
    <w:p>
      <w:pPr>
        <w:ind w:left="1500" w:firstLine="626" w:firstLineChars="174"/>
        <w:rPr>
          <w:rFonts w:hint="eastAsia" w:ascii="黑体" w:hAnsi="黑体" w:eastAsia="黑体" w:cs="黑体"/>
          <w:color w:val="auto"/>
          <w:sz w:val="36"/>
          <w:highlight w:val="none"/>
          <w:u w:val="single"/>
        </w:rPr>
      </w:pPr>
      <w:r>
        <w:rPr>
          <w:rFonts w:hint="eastAsia" w:ascii="黑体" w:hAnsi="黑体" w:eastAsia="黑体" w:cs="黑体"/>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5178425</wp:posOffset>
                </wp:positionH>
                <wp:positionV relativeFrom="paragraph">
                  <wp:posOffset>182245</wp:posOffset>
                </wp:positionV>
                <wp:extent cx="1047115" cy="373380"/>
                <wp:effectExtent l="4445" t="5080" r="15240" b="21590"/>
                <wp:wrapNone/>
                <wp:docPr id="1" name="矩形 1"/>
                <wp:cNvGraphicFramePr/>
                <a:graphic xmlns:a="http://schemas.openxmlformats.org/drawingml/2006/main">
                  <a:graphicData uri="http://schemas.microsoft.com/office/word/2010/wordprocessingShape">
                    <wps:wsp>
                      <wps:cNvSpPr/>
                      <wps:spPr>
                        <a:xfrm>
                          <a:off x="0" y="0"/>
                          <a:ext cx="104711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正本/副本</w:t>
                            </w:r>
                          </w:p>
                        </w:txbxContent>
                      </wps:txbx>
                      <wps:bodyPr upright="1"/>
                    </wps:wsp>
                  </a:graphicData>
                </a:graphic>
              </wp:anchor>
            </w:drawing>
          </mc:Choice>
          <mc:Fallback>
            <w:pict>
              <v:rect id="_x0000_s1026" o:spid="_x0000_s1026" o:spt="1" style="position:absolute;left:0pt;margin-left:407.75pt;margin-top:14.35pt;height:29.4pt;width:82.45pt;z-index:251659264;mso-width-relative:page;mso-height-relative:page;" fillcolor="#FFFFFF" filled="t" stroked="t" coordsize="21600,21600" o:gfxdata="UEsDBAoAAAAAAIdO4kAAAAAAAAAAAAAAAAAEAAAAZHJzL1BLAwQUAAAACACHTuJADe3TT9cAAAAJ&#10;AQAADwAAAGRycy9kb3ducmV2LnhtbE2PQU+DQBCF7yb+h82YeLO7oFiKLD1oauKxpRdvA4yAsruE&#10;XVr01zue6nHyvrz3Tb5dzCBONPneWQ3RSoEgW7umt62GY7m7S0H4gLbBwVnS8E0etsX1VY5Z4852&#10;T6dDaAWXWJ+hhi6EMZPS1x0Z9Cs3kuXsw00GA59TK5sJz1xuBhkr9SgN9pYXOhzpuaP66zAbDVUf&#10;H/FnX74qs9ndh7el/JzfX7S+vYnUE4hAS7jA8KfP6lCwU+Vm23gxaEijJGFUQ5yuQTCwSdUDiIqT&#10;dQKyyOX/D4pfUEsDBBQAAAAIAIdO4kCgzs05AwIAACkEAAAOAAAAZHJzL2Uyb0RvYy54bWytU82O&#10;0zAQviPxDpbvbJKWZZeo6R4o5YJgpV0eYOo4iSX/yeM26dMgceMheBzEazB2S/cHDj2QgzNjj7+Z&#10;75vx4mYymu1kQOVsw6uLkjNphWuV7Rv+5X796pozjGBb0M7Khu8l8pvlyxeL0ddy5ganWxkYgVis&#10;R9/wIUZfFwWKQRrAC+elpcPOBQOR3NAXbYCR0I0uZmX5phhdaH1wQiLS7upwyI+I4RxA13VKyJUT&#10;WyNtPKAGqSESJRyUR77M1XadFPFz16GMTDecmMa8UhKyN2ktlguo+wB+UOJYApxTwjNOBpSlpCeo&#10;FURg26D+gjJKBIeuixfCmeJAJCtCLKrymTZ3A3iZuZDU6E+i4/+DFZ92t4GpliaBMwuGGv7r6/ef&#10;P76xKmkzeqwp5M7fhqOHZCaiUxdM+hMFNmU99yc95RSZoM2qfH1VVZecCTqbX83n11nw4uG2Dxg/&#10;SGdYMhoeqF9ZRth9xEgZKfRPSEqGTqt2rbTOTug373RgO6DervOXSqYrT8K0ZWPD317OUh1AA9vR&#10;oJBpPJFG2+d8T27gY+Ayf/8CToWtAIdDARkhhUFtVJRJLqgHCe1727K49ySspffEUzFGtpxpSc8v&#10;WTkygtLnRBI7bYlkasyhFcmK02YimGRuXLunjm59UP1AkuY25nCaoKzOcdrTiD72M+jDC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3t00/XAAAACQEAAA8AAAAAAAAAAQAgAAAAIgAAAGRycy9k&#10;b3ducmV2LnhtbFBLAQIUABQAAAAIAIdO4kCgzs05AwIAACkEAAAOAAAAAAAAAAEAIAAAACY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正本/副本</w:t>
                      </w:r>
                    </w:p>
                  </w:txbxContent>
                </v:textbox>
              </v:rect>
            </w:pict>
          </mc:Fallback>
        </mc:AlternateContent>
      </w:r>
    </w:p>
    <w:p>
      <w:pPr>
        <w:ind w:left="1500" w:firstLine="626" w:firstLineChars="174"/>
        <w:rPr>
          <w:rFonts w:hint="eastAsia" w:ascii="黑体" w:hAnsi="黑体" w:eastAsia="黑体" w:cs="黑体"/>
          <w:color w:val="auto"/>
          <w:sz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highlight w:val="none"/>
          <w:u w:val="single"/>
          <w:lang w:val="en-US" w:eastAsia="zh-CN"/>
        </w:rPr>
      </w:pPr>
      <w:r>
        <w:rPr>
          <w:rFonts w:hint="eastAsia" w:ascii="黑体" w:hAnsi="黑体" w:eastAsia="黑体" w:cs="黑体"/>
          <w:b w:val="0"/>
          <w:bCs w:val="0"/>
          <w:color w:val="auto"/>
          <w:sz w:val="36"/>
          <w:highlight w:val="none"/>
          <w:u w:val="single"/>
          <w:lang w:val="en-US" w:eastAsia="zh-CN"/>
        </w:rPr>
        <w:t xml:space="preserve">河北省科学技术厅办公业务用房改造修缮项目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highlight w:val="none"/>
        </w:rPr>
      </w:pPr>
      <w:r>
        <w:rPr>
          <w:rFonts w:hint="eastAsia" w:ascii="黑体" w:hAnsi="黑体" w:eastAsia="黑体" w:cs="黑体"/>
          <w:b w:val="0"/>
          <w:bCs w:val="0"/>
          <w:color w:val="auto"/>
          <w:sz w:val="36"/>
          <w:highlight w:val="none"/>
          <w:u w:val="single"/>
          <w:lang w:val="en-US" w:eastAsia="zh-CN"/>
        </w:rPr>
        <w:t>消防工程专业分包</w:t>
      </w:r>
      <w:r>
        <w:rPr>
          <w:rFonts w:hint="eastAsia" w:ascii="黑体" w:hAnsi="黑体" w:eastAsia="黑体" w:cs="黑体"/>
          <w:b w:val="0"/>
          <w:bCs w:val="0"/>
          <w:color w:val="auto"/>
          <w:sz w:val="36"/>
          <w:highlight w:val="none"/>
        </w:rPr>
        <w:t>招标</w:t>
      </w:r>
    </w:p>
    <w:p>
      <w:pPr>
        <w:jc w:val="center"/>
        <w:rPr>
          <w:rFonts w:hint="eastAsia" w:ascii="黑体" w:hAnsi="黑体" w:eastAsia="黑体" w:cs="黑体"/>
          <w:b/>
          <w:color w:val="auto"/>
          <w:sz w:val="72"/>
          <w:highlight w:val="none"/>
        </w:rPr>
      </w:pPr>
    </w:p>
    <w:p>
      <w:pPr>
        <w:jc w:val="center"/>
        <w:rPr>
          <w:rFonts w:hint="eastAsia" w:ascii="黑体" w:hAnsi="黑体" w:eastAsia="黑体" w:cs="黑体"/>
          <w:b/>
          <w:color w:val="auto"/>
          <w:spacing w:val="120"/>
          <w:sz w:val="84"/>
          <w:szCs w:val="84"/>
          <w:highlight w:val="none"/>
        </w:rPr>
      </w:pPr>
      <w:r>
        <w:rPr>
          <w:rFonts w:hint="eastAsia" w:ascii="黑体" w:hAnsi="黑体" w:eastAsia="黑体" w:cs="黑体"/>
          <w:b/>
          <w:color w:val="auto"/>
          <w:spacing w:val="120"/>
          <w:sz w:val="84"/>
          <w:szCs w:val="84"/>
          <w:highlight w:val="none"/>
        </w:rPr>
        <w:t>投标文件</w:t>
      </w:r>
    </w:p>
    <w:p>
      <w:pPr>
        <w:jc w:val="center"/>
        <w:rPr>
          <w:rFonts w:hint="eastAsia" w:ascii="黑体" w:hAnsi="黑体" w:eastAsia="黑体" w:cs="黑体"/>
          <w:b/>
          <w:color w:val="auto"/>
          <w:spacing w:val="120"/>
          <w:sz w:val="44"/>
          <w:szCs w:val="44"/>
          <w:highlight w:val="none"/>
        </w:rPr>
      </w:pPr>
    </w:p>
    <w:p>
      <w:pPr>
        <w:jc w:val="center"/>
        <w:rPr>
          <w:rFonts w:hint="eastAsia" w:ascii="黑体" w:hAnsi="黑体" w:eastAsia="黑体" w:cs="黑体"/>
          <w:b/>
          <w:color w:val="auto"/>
          <w:sz w:val="44"/>
          <w:szCs w:val="44"/>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snapToGrid w:val="0"/>
        <w:spacing w:line="480" w:lineRule="auto"/>
        <w:ind w:firstLine="602" w:firstLineChars="200"/>
        <w:rPr>
          <w:rFonts w:hint="eastAsia" w:ascii="黑体" w:hAnsi="黑体" w:eastAsia="黑体" w:cs="黑体"/>
          <w:b/>
          <w:color w:val="auto"/>
          <w:sz w:val="30"/>
          <w:highlight w:val="none"/>
          <w:u w:val="single"/>
        </w:rPr>
      </w:pPr>
      <w:r>
        <w:rPr>
          <w:rFonts w:hint="eastAsia" w:ascii="黑体" w:hAnsi="黑体" w:eastAsia="黑体" w:cs="黑体"/>
          <w:b/>
          <w:color w:val="auto"/>
          <w:sz w:val="30"/>
          <w:highlight w:val="none"/>
        </w:rPr>
        <w:t>投   标   人：</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u w:val="single"/>
        </w:rPr>
        <w:tab/>
      </w:r>
      <w:r>
        <w:rPr>
          <w:rFonts w:hint="eastAsia" w:ascii="黑体" w:hAnsi="黑体" w:eastAsia="黑体" w:cs="黑体"/>
          <w:b/>
          <w:color w:val="auto"/>
          <w:sz w:val="30"/>
          <w:highlight w:val="none"/>
          <w:u w:val="single"/>
        </w:rPr>
        <w:tab/>
      </w:r>
      <w:r>
        <w:rPr>
          <w:rFonts w:hint="eastAsia" w:ascii="黑体" w:hAnsi="黑体" w:eastAsia="黑体" w:cs="黑体"/>
          <w:b/>
          <w:color w:val="auto"/>
          <w:sz w:val="30"/>
          <w:highlight w:val="none"/>
          <w:u w:val="single"/>
        </w:rPr>
        <w:t xml:space="preserve">        （盖章） </w:t>
      </w:r>
    </w:p>
    <w:p>
      <w:pPr>
        <w:snapToGrid w:val="0"/>
        <w:spacing w:line="480" w:lineRule="auto"/>
        <w:ind w:firstLine="567" w:firstLineChars="157"/>
        <w:rPr>
          <w:rFonts w:hint="eastAsia" w:ascii="黑体" w:hAnsi="黑体" w:eastAsia="黑体" w:cs="黑体"/>
          <w:b/>
          <w:color w:val="auto"/>
          <w:sz w:val="30"/>
          <w:highlight w:val="none"/>
        </w:rPr>
      </w:pPr>
      <w:r>
        <w:rPr>
          <w:rFonts w:hint="eastAsia" w:ascii="黑体" w:hAnsi="黑体" w:eastAsia="黑体" w:cs="黑体"/>
          <w:b/>
          <w:color w:val="auto"/>
          <w:spacing w:val="30"/>
          <w:sz w:val="30"/>
          <w:highlight w:val="none"/>
        </w:rPr>
        <w:t>法定代表人或授权委托人：</w:t>
      </w:r>
      <w:r>
        <w:rPr>
          <w:rFonts w:hint="eastAsia" w:ascii="黑体" w:hAnsi="黑体" w:eastAsia="黑体" w:cs="黑体"/>
          <w:b/>
          <w:color w:val="auto"/>
          <w:sz w:val="30"/>
          <w:highlight w:val="none"/>
          <w:u w:val="single"/>
        </w:rPr>
        <w:t xml:space="preserve">            （签字或盖章）</w:t>
      </w:r>
    </w:p>
    <w:p>
      <w:pPr>
        <w:snapToGrid w:val="0"/>
        <w:spacing w:line="480" w:lineRule="auto"/>
        <w:ind w:firstLine="602" w:firstLineChars="200"/>
        <w:rPr>
          <w:rFonts w:hint="eastAsia" w:ascii="黑体" w:hAnsi="黑体" w:eastAsia="黑体" w:cs="黑体"/>
          <w:b/>
          <w:color w:val="auto"/>
          <w:sz w:val="30"/>
          <w:highlight w:val="none"/>
        </w:rPr>
      </w:pPr>
      <w:r>
        <w:rPr>
          <w:rFonts w:hint="eastAsia" w:ascii="黑体" w:hAnsi="黑体" w:eastAsia="黑体" w:cs="黑体"/>
          <w:b/>
          <w:color w:val="auto"/>
          <w:sz w:val="30"/>
          <w:highlight w:val="none"/>
        </w:rPr>
        <w:t>日        期：</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年</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月</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日</w:t>
      </w:r>
    </w:p>
    <w:p>
      <w:pPr>
        <w:snapToGrid w:val="0"/>
        <w:spacing w:line="480" w:lineRule="auto"/>
        <w:ind w:firstLine="602" w:firstLineChars="200"/>
        <w:rPr>
          <w:rFonts w:hint="eastAsia" w:ascii="黑体" w:hAnsi="黑体" w:eastAsia="黑体" w:cs="黑体"/>
          <w:b/>
          <w:color w:val="auto"/>
          <w:sz w:val="30"/>
          <w:highlight w:val="none"/>
        </w:rPr>
      </w:pPr>
    </w:p>
    <w:p>
      <w:pPr>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br w:type="page"/>
      </w:r>
    </w:p>
    <w:p>
      <w:pPr>
        <w:jc w:val="center"/>
        <w:rPr>
          <w:rFonts w:hint="eastAsia" w:ascii="黑体" w:hAnsi="黑体" w:eastAsia="黑体" w:cs="黑体"/>
          <w:b/>
          <w:color w:val="auto"/>
          <w:highlight w:val="none"/>
        </w:rPr>
      </w:pPr>
      <w:r>
        <w:rPr>
          <w:rFonts w:hint="eastAsia" w:ascii="黑体" w:hAnsi="黑体" w:eastAsia="黑体" w:cs="黑体"/>
          <w:b/>
          <w:color w:val="auto"/>
          <w:sz w:val="32"/>
          <w:highlight w:val="none"/>
        </w:rPr>
        <w:t>目    录</w:t>
      </w: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一、投标函</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 xml:space="preserve">二、法定代表人身份证明书 </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 xml:space="preserve">三、授权委托书 </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四、投标人营业执照、资质证书、安全生产许可证等证件复印件</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五、投标人业绩表及同类业绩合同复印件</w:t>
      </w:r>
    </w:p>
    <w:p>
      <w:pPr>
        <w:pStyle w:val="2"/>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kern w:val="2"/>
          <w:sz w:val="24"/>
          <w:szCs w:val="22"/>
          <w:highlight w:val="none"/>
          <w:lang w:val="en-US" w:eastAsia="zh-CN" w:bidi="ar-SA"/>
        </w:rPr>
      </w:pPr>
      <w:r>
        <w:rPr>
          <w:rFonts w:hint="eastAsia" w:ascii="黑体" w:hAnsi="黑体" w:eastAsia="黑体" w:cs="黑体"/>
          <w:color w:val="auto"/>
          <w:kern w:val="2"/>
          <w:sz w:val="24"/>
          <w:szCs w:val="22"/>
          <w:highlight w:val="none"/>
          <w:lang w:val="en-US" w:eastAsia="zh-CN" w:bidi="ar-SA"/>
        </w:rPr>
        <w:t>六、投 标 报 价</w:t>
      </w:r>
    </w:p>
    <w:p>
      <w:pPr>
        <w:pStyle w:val="2"/>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kern w:val="2"/>
          <w:sz w:val="24"/>
          <w:szCs w:val="22"/>
          <w:highlight w:val="none"/>
          <w:lang w:val="en-US" w:eastAsia="zh-CN" w:bidi="ar-SA"/>
        </w:rPr>
      </w:pPr>
      <w:r>
        <w:rPr>
          <w:rFonts w:hint="eastAsia" w:ascii="黑体" w:hAnsi="黑体" w:eastAsia="黑体" w:cs="黑体"/>
          <w:color w:val="auto"/>
          <w:kern w:val="2"/>
          <w:sz w:val="24"/>
          <w:szCs w:val="22"/>
          <w:highlight w:val="none"/>
          <w:lang w:val="en-US" w:eastAsia="zh-CN" w:bidi="ar-SA"/>
        </w:rPr>
        <w:t>七、技术部分</w:t>
      </w:r>
    </w:p>
    <w:p>
      <w:pPr>
        <w:spacing w:line="480" w:lineRule="auto"/>
        <w:ind w:firstLine="1440" w:firstLineChars="600"/>
        <w:rPr>
          <w:rFonts w:hint="eastAsia" w:ascii="黑体" w:hAnsi="黑体" w:eastAsia="黑体" w:cs="黑体"/>
          <w:color w:val="auto"/>
          <w:sz w:val="24"/>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pStyle w:val="13"/>
        <w:ind w:firstLine="0" w:firstLineChars="0"/>
        <w:rPr>
          <w:rFonts w:hint="eastAsia" w:ascii="黑体" w:hAnsi="黑体" w:eastAsia="黑体" w:cs="黑体"/>
          <w:color w:val="auto"/>
          <w:highlight w:val="none"/>
        </w:rPr>
      </w:pPr>
    </w:p>
    <w:p>
      <w:pPr>
        <w:spacing w:line="400" w:lineRule="exact"/>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（一）投 标 函</w:t>
      </w:r>
    </w:p>
    <w:p>
      <w:pPr>
        <w:spacing w:line="400" w:lineRule="exact"/>
        <w:rPr>
          <w:rFonts w:hint="eastAsia" w:ascii="黑体" w:hAnsi="黑体" w:eastAsia="黑体" w:cs="黑体"/>
          <w:color w:val="auto"/>
          <w:highlight w:val="none"/>
        </w:rPr>
      </w:pPr>
    </w:p>
    <w:p>
      <w:pPr>
        <w:spacing w:line="400" w:lineRule="exact"/>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rPr>
        <w:t xml:space="preserve"> （招标人）</w:t>
      </w:r>
    </w:p>
    <w:p>
      <w:pPr>
        <w:spacing w:line="400" w:lineRule="exact"/>
        <w:rPr>
          <w:rFonts w:hint="eastAsia" w:ascii="黑体" w:hAnsi="黑体" w:eastAsia="黑体" w:cs="黑体"/>
          <w:color w:val="auto"/>
          <w:sz w:val="24"/>
          <w:highlight w:val="none"/>
          <w:u w:val="single"/>
        </w:rPr>
      </w:pPr>
    </w:p>
    <w:p>
      <w:pPr>
        <w:numPr>
          <w:ilvl w:val="0"/>
          <w:numId w:val="5"/>
        </w:numPr>
        <w:tabs>
          <w:tab w:val="left" w:pos="7560"/>
        </w:tabs>
        <w:spacing w:line="400" w:lineRule="exact"/>
        <w:ind w:left="120" w:leftChars="57" w:firstLine="369" w:firstLineChars="154"/>
        <w:jc w:val="left"/>
        <w:rPr>
          <w:rFonts w:hint="eastAsia" w:ascii="黑体" w:hAnsi="黑体" w:eastAsia="黑体" w:cs="黑体"/>
          <w:b/>
          <w:color w:val="auto"/>
          <w:sz w:val="24"/>
          <w:highlight w:val="none"/>
          <w:lang w:eastAsia="zh-CN"/>
        </w:rPr>
      </w:pPr>
      <w:r>
        <w:rPr>
          <w:rFonts w:hint="eastAsia" w:ascii="黑体" w:hAnsi="黑体" w:eastAsia="黑体" w:cs="黑体"/>
          <w:color w:val="auto"/>
          <w:sz w:val="24"/>
          <w:highlight w:val="none"/>
        </w:rPr>
        <w:t>根据你方</w:t>
      </w:r>
      <w:r>
        <w:rPr>
          <w:rFonts w:hint="eastAsia" w:ascii="黑体" w:hAnsi="黑体" w:eastAsia="黑体" w:cs="黑体"/>
          <w:color w:val="auto"/>
          <w:sz w:val="24"/>
          <w:highlight w:val="none"/>
          <w:u w:val="single"/>
        </w:rPr>
        <w:t xml:space="preserve"> </w:t>
      </w:r>
      <w:r>
        <w:rPr>
          <w:rFonts w:hint="eastAsia" w:ascii="黑体" w:hAnsi="黑体" w:eastAsia="黑体" w:cs="黑体"/>
          <w:b/>
          <w:color w:val="auto"/>
          <w:sz w:val="24"/>
          <w:szCs w:val="24"/>
          <w:highlight w:val="none"/>
          <w:u w:val="single"/>
        </w:rPr>
        <w:t xml:space="preserve">                 （工程名称） </w:t>
      </w:r>
      <w:r>
        <w:rPr>
          <w:rFonts w:hint="eastAsia" w:ascii="黑体" w:hAnsi="黑体" w:eastAsia="黑体" w:cs="黑体"/>
          <w:color w:val="auto"/>
          <w:sz w:val="24"/>
          <w:highlight w:val="none"/>
        </w:rPr>
        <w:t>招标文件，遵照《中华人民共和国招标投标法》等有关规定，经踏勘项目现场和研究上述招标文件的投标须知、合同条款、图纸、工程建设标准和工程量清单及其他有关文件后，我方的</w:t>
      </w:r>
      <w:r>
        <w:rPr>
          <w:rFonts w:hint="eastAsia" w:ascii="黑体" w:hAnsi="黑体" w:eastAsia="黑体" w:cs="黑体"/>
          <w:b/>
          <w:color w:val="auto"/>
          <w:sz w:val="24"/>
          <w:highlight w:val="none"/>
        </w:rPr>
        <w:t>投标价</w:t>
      </w:r>
      <w:r>
        <w:rPr>
          <w:rFonts w:hint="eastAsia" w:ascii="黑体" w:hAnsi="黑体" w:eastAsia="黑体" w:cs="黑体"/>
          <w:b/>
          <w:color w:val="auto"/>
          <w:sz w:val="24"/>
          <w:highlight w:val="none"/>
          <w:lang w:eastAsia="zh-CN"/>
        </w:rPr>
        <w:t>：</w:t>
      </w:r>
    </w:p>
    <w:p>
      <w:pPr>
        <w:numPr>
          <w:ilvl w:val="0"/>
          <w:numId w:val="0"/>
        </w:numPr>
        <w:tabs>
          <w:tab w:val="left" w:pos="7560"/>
        </w:tabs>
        <w:spacing w:line="400" w:lineRule="exact"/>
        <w:ind w:firstLine="723" w:firstLineChars="300"/>
        <w:jc w:val="left"/>
        <w:rPr>
          <w:rFonts w:hint="eastAsia" w:ascii="黑体" w:hAnsi="黑体" w:eastAsia="黑体" w:cs="黑体"/>
          <w:color w:val="auto"/>
          <w:sz w:val="24"/>
          <w:highlight w:val="none"/>
        </w:rPr>
      </w:pPr>
      <w:r>
        <w:rPr>
          <w:rFonts w:hint="eastAsia" w:ascii="黑体" w:hAnsi="黑体" w:eastAsia="黑体" w:cs="黑体"/>
          <w:b/>
          <w:bCs/>
          <w:color w:val="auto"/>
          <w:sz w:val="24"/>
          <w:highlight w:val="none"/>
          <w:lang w:val="en-US" w:eastAsia="zh-CN"/>
        </w:rPr>
        <w:t>报价为</w:t>
      </w:r>
      <w:r>
        <w:rPr>
          <w:rFonts w:hint="eastAsia" w:ascii="黑体" w:hAnsi="黑体" w:eastAsia="黑体" w:cs="黑体"/>
          <w:b/>
          <w:bCs/>
          <w:color w:val="auto"/>
          <w:sz w:val="24"/>
          <w:highlight w:val="none"/>
          <w:u w:val="single"/>
          <w:lang w:val="en-US" w:eastAsia="zh-CN"/>
        </w:rPr>
        <w:t xml:space="preserve">         </w:t>
      </w:r>
      <w:r>
        <w:rPr>
          <w:rFonts w:hint="eastAsia" w:ascii="黑体" w:hAnsi="黑体" w:eastAsia="黑体" w:cs="黑体"/>
          <w:b/>
          <w:bCs/>
          <w:color w:val="auto"/>
          <w:sz w:val="24"/>
          <w:highlight w:val="none"/>
        </w:rPr>
        <w:t>。</w:t>
      </w:r>
    </w:p>
    <w:p>
      <w:pPr>
        <w:numPr>
          <w:ilvl w:val="0"/>
          <w:numId w:val="0"/>
        </w:numPr>
        <w:tabs>
          <w:tab w:val="left" w:pos="7560"/>
        </w:tabs>
        <w:spacing w:line="400" w:lineRule="exact"/>
        <w:ind w:firstLine="720" w:firstLineChars="3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按图纸、合同条款、工程建设标准和工程量清单的条件要求承包上述工程的施工、竣工，并承担任何质量缺陷保修责任。</w:t>
      </w:r>
    </w:p>
    <w:p>
      <w:pPr>
        <w:spacing w:line="400" w:lineRule="exact"/>
        <w:ind w:firstLine="49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2、我方已详细审核全部招标文件，包括修改文件（如有时）及有关附件。</w:t>
      </w:r>
    </w:p>
    <w:p>
      <w:pPr>
        <w:spacing w:line="400" w:lineRule="exact"/>
        <w:ind w:firstLine="49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3、一旦我方中标，我方保证按合同协议书中规定的工期</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日历天内完成并移交全部工程，工程质量达到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标准。</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4、我方同意所提交的投标文件在招标文件的投标须知中第14条规定的投标有效期内有效，在此期间内如果中标，我方将受此约束。</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5、除非另外达成协议并生效，你方的中标通知书和本投标文件将成为约束双方的合同文件的组成部分。</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6、我方将与本投标函一起，提交人民币</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元的投标保证金。</w:t>
      </w:r>
    </w:p>
    <w:p>
      <w:pPr>
        <w:spacing w:line="400" w:lineRule="exact"/>
        <w:ind w:firstLine="490"/>
        <w:rPr>
          <w:rFonts w:hint="eastAsia" w:ascii="黑体" w:hAnsi="黑体" w:eastAsia="黑体" w:cs="黑体"/>
          <w:color w:val="auto"/>
          <w:highlight w:val="none"/>
        </w:rPr>
      </w:pPr>
      <w:r>
        <w:rPr>
          <w:rFonts w:hint="eastAsia" w:ascii="黑体" w:hAnsi="黑体" w:eastAsia="黑体" w:cs="黑体"/>
          <w:color w:val="auto"/>
          <w:sz w:val="24"/>
          <w:highlight w:val="none"/>
        </w:rPr>
        <w:t>7、我方完全理解你方（招标人）不以最低价为中标唯一条件。</w:t>
      </w:r>
    </w:p>
    <w:p>
      <w:pPr>
        <w:spacing w:line="400" w:lineRule="exact"/>
        <w:rPr>
          <w:rFonts w:hint="eastAsia" w:ascii="黑体" w:hAnsi="黑体" w:eastAsia="黑体" w:cs="黑体"/>
          <w:color w:val="auto"/>
          <w:highlight w:val="non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投 标 人：</w:t>
      </w:r>
      <w:r>
        <w:rPr>
          <w:rFonts w:hint="eastAsia" w:ascii="黑体" w:hAnsi="黑体" w:eastAsia="黑体" w:cs="黑体"/>
          <w:color w:val="auto"/>
          <w:sz w:val="24"/>
          <w:highlight w:val="none"/>
          <w:u w:val="single"/>
        </w:rPr>
        <w:t xml:space="preserve">                                     （盖章）   </w:t>
      </w:r>
    </w:p>
    <w:p>
      <w:pPr>
        <w:spacing w:line="400" w:lineRule="exact"/>
        <w:ind w:left="489" w:leftChars="233" w:firstLine="240" w:firstLineChars="1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单位地址：</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p>
    <w:p>
      <w:pPr>
        <w:spacing w:line="400" w:lineRule="exact"/>
        <w:ind w:firstLine="720" w:firstLineChars="3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法定代表人或授权委托代理人：</w:t>
      </w:r>
      <w:r>
        <w:rPr>
          <w:rFonts w:hint="eastAsia" w:ascii="黑体" w:hAnsi="黑体" w:eastAsia="黑体" w:cs="黑体"/>
          <w:color w:val="auto"/>
          <w:sz w:val="24"/>
          <w:highlight w:val="none"/>
          <w:u w:val="single"/>
        </w:rPr>
        <w:t xml:space="preserve">               （签字或盖章） </w:t>
      </w:r>
    </w:p>
    <w:p>
      <w:pPr>
        <w:spacing w:line="400" w:lineRule="exact"/>
        <w:ind w:firstLine="720" w:firstLineChars="3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rPr>
      </w:pPr>
      <w:r>
        <w:rPr>
          <w:rFonts w:hint="eastAsia" w:ascii="黑体" w:hAnsi="黑体" w:eastAsia="黑体" w:cs="黑体"/>
          <w:color w:val="auto"/>
          <w:sz w:val="24"/>
          <w:highlight w:val="none"/>
        </w:rPr>
        <w:t>邮政编码：</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电话：</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rPr>
        <w:t xml:space="preserve"> 传真：</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p>
    <w:p>
      <w:pPr>
        <w:spacing w:line="400" w:lineRule="exact"/>
        <w:ind w:left="233"/>
        <w:rPr>
          <w:rFonts w:hint="eastAsia" w:ascii="黑体" w:hAnsi="黑体" w:eastAsia="黑体" w:cs="黑体"/>
          <w:color w:val="auto"/>
          <w:sz w:val="32"/>
          <w:highlight w:val="none"/>
        </w:rPr>
      </w:pPr>
    </w:p>
    <w:p>
      <w:pPr>
        <w:spacing w:line="400" w:lineRule="exact"/>
        <w:ind w:left="5292" w:leftChars="2520" w:firstLine="168" w:firstLineChars="70"/>
        <w:rPr>
          <w:rFonts w:hint="eastAsia" w:ascii="黑体" w:hAnsi="黑体" w:eastAsia="黑体" w:cs="黑体"/>
          <w:color w:val="auto"/>
          <w:sz w:val="24"/>
          <w:highlight w:val="none"/>
          <w:u w:val="single"/>
        </w:rPr>
      </w:pPr>
    </w:p>
    <w:p>
      <w:pPr>
        <w:spacing w:line="400" w:lineRule="exact"/>
        <w:ind w:firstLine="4800" w:firstLineChars="2000"/>
        <w:rPr>
          <w:rFonts w:hint="eastAsia" w:ascii="黑体" w:hAnsi="黑体" w:eastAsia="黑体" w:cs="黑体"/>
          <w:color w:val="auto"/>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360" w:lineRule="exact"/>
        <w:jc w:val="center"/>
        <w:rPr>
          <w:rFonts w:hint="eastAsia" w:ascii="黑体" w:hAnsi="黑体" w:eastAsia="黑体" w:cs="黑体"/>
          <w:b/>
          <w:color w:val="auto"/>
          <w:sz w:val="32"/>
          <w:highlight w:val="none"/>
        </w:rPr>
      </w:pPr>
      <w:r>
        <w:rPr>
          <w:rFonts w:hint="eastAsia" w:ascii="黑体" w:hAnsi="黑体" w:eastAsia="黑体" w:cs="黑体"/>
          <w:color w:val="auto"/>
          <w:highlight w:val="none"/>
        </w:rPr>
        <w:br w:type="page"/>
      </w:r>
    </w:p>
    <w:p>
      <w:pPr>
        <w:spacing w:line="360" w:lineRule="exact"/>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（二）法定代表人身份证明书</w:t>
      </w:r>
    </w:p>
    <w:p>
      <w:pPr>
        <w:spacing w:line="360" w:lineRule="exact"/>
        <w:rPr>
          <w:rFonts w:hint="eastAsia" w:ascii="黑体" w:hAnsi="黑体" w:eastAsia="黑体" w:cs="黑体"/>
          <w:color w:val="auto"/>
          <w:highlight w:val="none"/>
        </w:rPr>
      </w:pPr>
    </w:p>
    <w:p>
      <w:pPr>
        <w:spacing w:line="360" w:lineRule="exact"/>
        <w:ind w:firstLine="612"/>
        <w:rPr>
          <w:rFonts w:hint="eastAsia" w:ascii="黑体" w:hAnsi="黑体" w:eastAsia="黑体" w:cs="黑体"/>
          <w:color w:val="auto"/>
          <w:highlight w:val="none"/>
        </w:rPr>
      </w:pPr>
    </w:p>
    <w:p>
      <w:pPr>
        <w:spacing w:line="360" w:lineRule="exact"/>
        <w:ind w:firstLine="612"/>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单位名称：</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单位性质：</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地   址：</w:t>
      </w:r>
      <w:r>
        <w:rPr>
          <w:rFonts w:hint="eastAsia" w:ascii="黑体" w:hAnsi="黑体" w:eastAsia="黑体" w:cs="黑体"/>
          <w:color w:val="auto"/>
          <w:sz w:val="24"/>
          <w:highlight w:val="none"/>
          <w:u w:val="single"/>
        </w:rPr>
        <w:t xml:space="preserve">                                   </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成立时间：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经营期限：</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姓名：</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性别：</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年龄：</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职务：</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系</w:t>
      </w:r>
      <w:r>
        <w:rPr>
          <w:rFonts w:hint="eastAsia" w:ascii="黑体" w:hAnsi="黑体" w:eastAsia="黑体" w:cs="黑体"/>
          <w:color w:val="auto"/>
          <w:sz w:val="24"/>
          <w:highlight w:val="none"/>
          <w:u w:val="single"/>
        </w:rPr>
        <w:t xml:space="preserve">                           （投标单位）</w:t>
      </w:r>
      <w:r>
        <w:rPr>
          <w:rFonts w:hint="eastAsia" w:ascii="黑体" w:hAnsi="黑体" w:eastAsia="黑体" w:cs="黑体"/>
          <w:color w:val="auto"/>
          <w:sz w:val="24"/>
          <w:highlight w:val="none"/>
        </w:rPr>
        <w:t>的法定代表人。</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pPr>
        <w:spacing w:line="360" w:lineRule="exact"/>
        <w:ind w:firstLine="610"/>
        <w:rPr>
          <w:rFonts w:hint="eastAsia" w:ascii="黑体" w:hAnsi="黑体" w:eastAsia="黑体" w:cs="黑体"/>
          <w:color w:val="auto"/>
          <w:sz w:val="24"/>
          <w:highlight w:val="none"/>
        </w:rPr>
      </w:pPr>
    </w:p>
    <w:p>
      <w:pPr>
        <w:spacing w:line="360" w:lineRule="exact"/>
        <w:ind w:firstLine="610"/>
        <w:rPr>
          <w:rFonts w:hint="eastAsia" w:ascii="黑体" w:hAnsi="黑体" w:eastAsia="黑体" w:cs="黑体"/>
          <w:color w:val="auto"/>
          <w:sz w:val="24"/>
          <w:highlight w:val="none"/>
        </w:rPr>
      </w:pPr>
    </w:p>
    <w:p>
      <w:pPr>
        <w:spacing w:line="360" w:lineRule="exact"/>
        <w:ind w:firstLine="61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注：后附法定代表人身份证复印件。</w:t>
      </w: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ind w:firstLine="5040" w:firstLineChars="21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投标人：</w:t>
      </w:r>
      <w:r>
        <w:rPr>
          <w:rFonts w:hint="eastAsia" w:ascii="黑体" w:hAnsi="黑体" w:eastAsia="黑体" w:cs="黑体"/>
          <w:color w:val="auto"/>
          <w:sz w:val="24"/>
          <w:highlight w:val="none"/>
          <w:u w:val="single"/>
        </w:rPr>
        <w:t xml:space="preserve">             （盖章）</w:t>
      </w:r>
    </w:p>
    <w:p>
      <w:pPr>
        <w:tabs>
          <w:tab w:val="left" w:pos="720"/>
          <w:tab w:val="left" w:pos="900"/>
        </w:tabs>
        <w:spacing w:line="360" w:lineRule="exact"/>
        <w:ind w:firstLine="5040" w:firstLineChars="2100"/>
        <w:rPr>
          <w:rFonts w:hint="eastAsia" w:ascii="黑体" w:hAnsi="黑体" w:eastAsia="黑体" w:cs="黑体"/>
          <w:color w:val="auto"/>
          <w:sz w:val="24"/>
          <w:highlight w:val="none"/>
        </w:rPr>
      </w:pPr>
    </w:p>
    <w:p>
      <w:pPr>
        <w:tabs>
          <w:tab w:val="left" w:pos="720"/>
          <w:tab w:val="left" w:pos="900"/>
        </w:tabs>
        <w:spacing w:line="360" w:lineRule="exact"/>
        <w:ind w:firstLine="5040" w:firstLineChars="2100"/>
        <w:rPr>
          <w:rFonts w:hint="eastAsia" w:ascii="黑体" w:hAnsi="黑体" w:eastAsia="黑体" w:cs="黑体"/>
          <w:color w:val="auto"/>
          <w:sz w:val="24"/>
          <w:highlight w:val="none"/>
        </w:rPr>
      </w:pPr>
    </w:p>
    <w:p>
      <w:pPr>
        <w:tabs>
          <w:tab w:val="left" w:pos="720"/>
          <w:tab w:val="left" w:pos="900"/>
        </w:tabs>
        <w:spacing w:line="360" w:lineRule="exact"/>
        <w:ind w:firstLine="6000" w:firstLineChars="2500"/>
        <w:rPr>
          <w:rFonts w:hint="eastAsia" w:ascii="黑体" w:hAnsi="黑体" w:eastAsia="黑体" w:cs="黑体"/>
          <w:color w:val="auto"/>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jc w:val="center"/>
        <w:rPr>
          <w:rFonts w:hint="eastAsia" w:ascii="黑体" w:hAnsi="黑体" w:eastAsia="黑体" w:cs="黑体"/>
          <w:b/>
          <w:color w:val="auto"/>
          <w:sz w:val="32"/>
          <w:highlight w:val="none"/>
        </w:rPr>
      </w:pPr>
      <w:r>
        <w:rPr>
          <w:rFonts w:hint="eastAsia" w:ascii="黑体" w:hAnsi="黑体" w:eastAsia="黑体" w:cs="黑体"/>
          <w:color w:val="auto"/>
          <w:highlight w:val="none"/>
        </w:rPr>
        <w:br w:type="page"/>
      </w:r>
    </w:p>
    <w:p>
      <w:pPr>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（三）授权委托书</w:t>
      </w:r>
    </w:p>
    <w:p>
      <w:pPr>
        <w:spacing w:line="360" w:lineRule="exact"/>
        <w:jc w:val="center"/>
        <w:rPr>
          <w:rFonts w:hint="eastAsia" w:ascii="黑体" w:hAnsi="黑体" w:eastAsia="黑体" w:cs="黑体"/>
          <w:b/>
          <w:color w:val="auto"/>
          <w:sz w:val="24"/>
          <w:szCs w:val="24"/>
          <w:highlight w:val="none"/>
        </w:rPr>
      </w:pPr>
    </w:p>
    <w:p>
      <w:pPr>
        <w:spacing w:line="360" w:lineRule="auto"/>
        <w:ind w:firstLine="6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本授权委托书声明：我</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（姓名）系</w:t>
      </w:r>
      <w:r>
        <w:rPr>
          <w:rFonts w:hint="eastAsia" w:ascii="黑体" w:hAnsi="黑体" w:eastAsia="黑体" w:cs="黑体"/>
          <w:color w:val="auto"/>
          <w:sz w:val="24"/>
          <w:szCs w:val="24"/>
          <w:highlight w:val="none"/>
          <w:u w:val="single"/>
        </w:rPr>
        <w:t xml:space="preserve">                   （投标单位） </w:t>
      </w:r>
      <w:r>
        <w:rPr>
          <w:rFonts w:hint="eastAsia" w:ascii="黑体" w:hAnsi="黑体" w:eastAsia="黑体" w:cs="黑体"/>
          <w:color w:val="auto"/>
          <w:sz w:val="24"/>
          <w:szCs w:val="24"/>
          <w:highlight w:val="none"/>
        </w:rPr>
        <w:t>的法定代表人，现授权委托</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为我公司授权代理人，以本公司的名义参加</w:t>
      </w:r>
      <w:r>
        <w:rPr>
          <w:rFonts w:hint="eastAsia" w:ascii="黑体" w:hAnsi="黑体" w:eastAsia="黑体" w:cs="黑体"/>
          <w:color w:val="auto"/>
          <w:sz w:val="24"/>
          <w:highlight w:val="none"/>
        </w:rPr>
        <w:t>：</w:t>
      </w:r>
      <w:r>
        <w:rPr>
          <w:rFonts w:hint="eastAsia" w:ascii="黑体" w:hAnsi="黑体" w:eastAsia="黑体" w:cs="黑体"/>
          <w:b/>
          <w:color w:val="auto"/>
          <w:sz w:val="24"/>
          <w:szCs w:val="24"/>
          <w:highlight w:val="none"/>
          <w:u w:val="single"/>
        </w:rPr>
        <w:t xml:space="preserve">                              （工程名称） </w:t>
      </w:r>
      <w:r>
        <w:rPr>
          <w:rFonts w:hint="eastAsia" w:ascii="黑体" w:hAnsi="黑体" w:eastAsia="黑体" w:cs="黑体"/>
          <w:color w:val="auto"/>
          <w:sz w:val="24"/>
          <w:szCs w:val="24"/>
          <w:highlight w:val="none"/>
        </w:rPr>
        <w:t>的投标活动。代理人在开标、评标、合同谈判过程中所签署的一切文件和处理与之有关的一切事务，我均予以承认。</w:t>
      </w:r>
    </w:p>
    <w:p>
      <w:pPr>
        <w:spacing w:line="360" w:lineRule="auto"/>
        <w:rPr>
          <w:rFonts w:hint="eastAsia" w:ascii="黑体" w:hAnsi="黑体" w:eastAsia="黑体" w:cs="黑体"/>
          <w:color w:val="auto"/>
          <w:sz w:val="24"/>
          <w:szCs w:val="24"/>
          <w:highlight w:val="none"/>
        </w:rPr>
      </w:pP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代理人无转委权。特此证明。</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授权委托期限：20</w:t>
      </w: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年  月   日至20</w:t>
      </w: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年   月   日</w:t>
      </w:r>
    </w:p>
    <w:p>
      <w:pPr>
        <w:spacing w:line="360" w:lineRule="exact"/>
        <w:ind w:left="1260"/>
        <w:rPr>
          <w:rFonts w:hint="eastAsia" w:ascii="黑体" w:hAnsi="黑体" w:eastAsia="黑体" w:cs="黑体"/>
          <w:color w:val="auto"/>
          <w:sz w:val="24"/>
          <w:highlight w:val="none"/>
        </w:rPr>
      </w:pPr>
    </w:p>
    <w:p>
      <w:pPr>
        <w:spacing w:line="360" w:lineRule="exact"/>
        <w:rPr>
          <w:rFonts w:hint="eastAsia" w:ascii="黑体" w:hAnsi="黑体" w:eastAsia="黑体" w:cs="黑体"/>
          <w:color w:val="auto"/>
          <w:sz w:val="24"/>
          <w:highlight w:val="none"/>
        </w:rPr>
      </w:pPr>
    </w:p>
    <w:p>
      <w:pPr>
        <w:spacing w:line="360" w:lineRule="exact"/>
        <w:ind w:left="1260"/>
        <w:rPr>
          <w:rFonts w:hint="eastAsia" w:ascii="黑体" w:hAnsi="黑体" w:eastAsia="黑体" w:cs="黑体"/>
          <w:color w:val="auto"/>
          <w:sz w:val="24"/>
          <w:highlight w:val="none"/>
        </w:rPr>
      </w:pPr>
    </w:p>
    <w:p>
      <w:pPr>
        <w:spacing w:line="360" w:lineRule="exact"/>
        <w:ind w:left="126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代理人：</w:t>
      </w:r>
      <w:r>
        <w:rPr>
          <w:rFonts w:hint="eastAsia" w:ascii="黑体" w:hAnsi="黑体" w:eastAsia="黑体" w:cs="黑体"/>
          <w:color w:val="auto"/>
          <w:sz w:val="24"/>
          <w:highlight w:val="none"/>
          <w:u w:val="single"/>
        </w:rPr>
        <w:t xml:space="preserve">   </w:t>
      </w:r>
      <w:r>
        <w:rPr>
          <w:rFonts w:hint="eastAsia" w:ascii="黑体" w:hAnsi="黑体" w:eastAsia="黑体" w:cs="黑体"/>
          <w:b/>
          <w:color w:val="auto"/>
          <w:sz w:val="24"/>
          <w:highlight w:val="none"/>
          <w:u w:val="singl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性别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年龄：</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w:t>
      </w:r>
    </w:p>
    <w:p>
      <w:pPr>
        <w:spacing w:line="360" w:lineRule="exact"/>
        <w:ind w:firstLine="960" w:firstLineChars="40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身份证号码：</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w:t>
      </w:r>
      <w:r>
        <w:rPr>
          <w:rFonts w:hint="eastAsia" w:ascii="黑体" w:hAnsi="黑体" w:eastAsia="黑体" w:cs="黑体"/>
          <w:color w:val="auto"/>
          <w:sz w:val="24"/>
          <w:highlight w:val="none"/>
          <w:u w:val="single"/>
        </w:rPr>
        <w:t xml:space="preserve">               </w:t>
      </w:r>
    </w:p>
    <w:p>
      <w:pPr>
        <w:spacing w:line="360" w:lineRule="exact"/>
        <w:ind w:left="2699"/>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r>
        <w:rPr>
          <w:rFonts w:hint="eastAsia" w:ascii="黑体" w:hAnsi="黑体" w:eastAsia="黑体" w:cs="黑体"/>
          <w:color w:val="auto"/>
          <w:sz w:val="24"/>
          <w:highlight w:val="none"/>
        </w:rPr>
        <w:t>投标人：</w:t>
      </w:r>
      <w:r>
        <w:rPr>
          <w:rFonts w:hint="eastAsia" w:ascii="黑体" w:hAnsi="黑体" w:eastAsia="黑体" w:cs="黑体"/>
          <w:color w:val="auto"/>
          <w:sz w:val="24"/>
          <w:highlight w:val="none"/>
          <w:u w:val="single"/>
        </w:rPr>
        <w:t xml:space="preserve">                                      （盖章）</w:t>
      </w:r>
    </w:p>
    <w:p>
      <w:pPr>
        <w:spacing w:line="360" w:lineRule="exact"/>
        <w:ind w:left="2699"/>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w:t>
      </w:r>
      <w:r>
        <w:rPr>
          <w:rFonts w:hint="eastAsia" w:ascii="黑体" w:hAnsi="黑体" w:eastAsia="黑体" w:cs="黑体"/>
          <w:color w:val="auto"/>
          <w:sz w:val="24"/>
          <w:highlight w:val="none"/>
          <w:u w:val="single"/>
        </w:rPr>
        <w:t xml:space="preserve">                              （签字或盖章）</w:t>
      </w:r>
    </w:p>
    <w:p>
      <w:pPr>
        <w:spacing w:line="360" w:lineRule="exact"/>
        <w:ind w:left="2699"/>
        <w:rPr>
          <w:rFonts w:hint="eastAsia" w:ascii="黑体" w:hAnsi="黑体" w:eastAsia="黑体" w:cs="黑体"/>
          <w:color w:val="auto"/>
          <w:sz w:val="24"/>
          <w:highlight w:val="none"/>
        </w:rPr>
      </w:pPr>
    </w:p>
    <w:p>
      <w:pPr>
        <w:spacing w:line="360" w:lineRule="exact"/>
        <w:ind w:left="2833" w:leftChars="1349" w:firstLine="2400" w:firstLineChars="1000"/>
        <w:rPr>
          <w:rFonts w:hint="eastAsia" w:ascii="黑体" w:hAnsi="黑体" w:eastAsia="黑体" w:cs="黑体"/>
          <w:color w:val="auto"/>
          <w:sz w:val="24"/>
          <w:highlight w:val="none"/>
        </w:rPr>
      </w:pPr>
    </w:p>
    <w:p>
      <w:pPr>
        <w:spacing w:line="360" w:lineRule="exact"/>
        <w:ind w:left="2833" w:leftChars="1349" w:firstLine="2400" w:firstLineChars="1000"/>
        <w:rPr>
          <w:rFonts w:hint="eastAsia" w:ascii="黑体" w:hAnsi="黑体" w:eastAsia="黑体" w:cs="黑体"/>
          <w:color w:val="auto"/>
          <w:sz w:val="24"/>
          <w:highlight w:val="none"/>
        </w:rPr>
      </w:pPr>
    </w:p>
    <w:p>
      <w:pPr>
        <w:spacing w:line="36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授权委托日期：</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400" w:lineRule="exact"/>
        <w:jc w:val="left"/>
        <w:rPr>
          <w:rFonts w:hint="eastAsia" w:ascii="黑体" w:hAnsi="黑体" w:eastAsia="黑体" w:cs="黑体"/>
          <w:b/>
          <w:color w:val="auto"/>
          <w:sz w:val="24"/>
          <w:highlight w:val="none"/>
        </w:rPr>
      </w:pPr>
    </w:p>
    <w:p>
      <w:pPr>
        <w:spacing w:line="400" w:lineRule="exact"/>
        <w:jc w:val="left"/>
        <w:rPr>
          <w:rFonts w:hint="eastAsia" w:ascii="黑体" w:hAnsi="黑体" w:eastAsia="黑体" w:cs="黑体"/>
          <w:b/>
          <w:color w:val="auto"/>
          <w:sz w:val="24"/>
          <w:highlight w:val="none"/>
        </w:rPr>
      </w:pPr>
    </w:p>
    <w:p>
      <w:pPr>
        <w:spacing w:line="400" w:lineRule="exact"/>
        <w:jc w:val="lef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注：后附被授权人身份证复印件。</w:t>
      </w:r>
    </w:p>
    <w:p>
      <w:pPr>
        <w:spacing w:line="400" w:lineRule="exact"/>
        <w:jc w:val="center"/>
        <w:rPr>
          <w:rFonts w:hint="eastAsia" w:ascii="黑体" w:hAnsi="黑体" w:eastAsia="黑体" w:cs="黑体"/>
          <w:b/>
          <w:color w:val="auto"/>
          <w:sz w:val="32"/>
          <w:szCs w:val="32"/>
          <w:highlight w:val="none"/>
        </w:rPr>
      </w:pPr>
      <w:r>
        <w:rPr>
          <w:rFonts w:hint="eastAsia" w:ascii="黑体" w:hAnsi="黑体" w:eastAsia="黑体" w:cs="黑体"/>
          <w:color w:val="auto"/>
          <w:highlight w:val="none"/>
        </w:rPr>
        <w:br w:type="page"/>
      </w:r>
      <w:r>
        <w:rPr>
          <w:rFonts w:hint="eastAsia" w:ascii="黑体" w:hAnsi="黑体" w:eastAsia="黑体" w:cs="黑体"/>
          <w:b/>
          <w:color w:val="auto"/>
          <w:sz w:val="32"/>
          <w:highlight w:val="none"/>
        </w:rPr>
        <w:t>（四）</w:t>
      </w:r>
      <w:r>
        <w:rPr>
          <w:rFonts w:hint="eastAsia" w:ascii="黑体" w:hAnsi="黑体" w:eastAsia="黑体" w:cs="黑体"/>
          <w:b/>
          <w:color w:val="auto"/>
          <w:sz w:val="32"/>
          <w:szCs w:val="32"/>
          <w:highlight w:val="none"/>
        </w:rPr>
        <w:t>投标人营业执照、资质证书、</w:t>
      </w:r>
    </w:p>
    <w:p>
      <w:pPr>
        <w:spacing w:line="400" w:lineRule="exact"/>
        <w:jc w:val="center"/>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 xml:space="preserve">    安全生产许可证等证件复印件</w:t>
      </w:r>
      <w:r>
        <w:rPr>
          <w:rFonts w:hint="eastAsia" w:ascii="黑体" w:hAnsi="黑体" w:eastAsia="黑体" w:cs="黑体"/>
          <w:b/>
          <w:color w:val="auto"/>
          <w:sz w:val="32"/>
          <w:szCs w:val="32"/>
          <w:highlight w:val="none"/>
          <w:lang w:eastAsia="zh-CN"/>
        </w:rPr>
        <w:t>（</w:t>
      </w:r>
      <w:r>
        <w:rPr>
          <w:rFonts w:hint="eastAsia" w:ascii="黑体" w:hAnsi="黑体" w:eastAsia="黑体" w:cs="黑体"/>
          <w:b/>
          <w:color w:val="auto"/>
          <w:sz w:val="32"/>
          <w:szCs w:val="32"/>
          <w:highlight w:val="none"/>
          <w:lang w:val="en-US" w:eastAsia="zh-CN"/>
        </w:rPr>
        <w:t>盖公章</w:t>
      </w:r>
      <w:r>
        <w:rPr>
          <w:rFonts w:hint="eastAsia" w:ascii="黑体" w:hAnsi="黑体" w:eastAsia="黑体" w:cs="黑体"/>
          <w:b/>
          <w:color w:val="auto"/>
          <w:sz w:val="32"/>
          <w:szCs w:val="32"/>
          <w:highlight w:val="none"/>
          <w:lang w:eastAsia="zh-CN"/>
        </w:rPr>
        <w:t>）、</w:t>
      </w:r>
      <w:r>
        <w:rPr>
          <w:rFonts w:hint="eastAsia" w:ascii="黑体" w:hAnsi="黑体" w:eastAsia="黑体" w:cs="黑体"/>
          <w:b/>
          <w:color w:val="auto"/>
          <w:sz w:val="32"/>
          <w:szCs w:val="32"/>
          <w:highlight w:val="none"/>
          <w:lang w:val="en-US" w:eastAsia="zh-CN"/>
        </w:rPr>
        <w:t>厂家授权书</w:t>
      </w: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80"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r>
        <w:rPr>
          <w:rFonts w:hint="eastAsia" w:ascii="黑体" w:hAnsi="黑体" w:eastAsia="黑体" w:cs="黑体"/>
          <w:b/>
          <w:color w:val="auto"/>
          <w:sz w:val="32"/>
          <w:szCs w:val="32"/>
          <w:highlight w:val="none"/>
        </w:rPr>
        <w:t>（五）主要施工业绩一览表（可提供不少于两份合同复印件，提供近3年或近5年施工业绩）</w:t>
      </w:r>
    </w:p>
    <w:tbl>
      <w:tblPr>
        <w:tblStyle w:val="36"/>
        <w:tblW w:w="928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679"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工程名称</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工程地点</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合同价款</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施工年份</w:t>
            </w:r>
          </w:p>
        </w:tc>
        <w:tc>
          <w:tcPr>
            <w:tcW w:w="1322"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bl>
    <w:p>
      <w:pPr>
        <w:spacing w:line="480" w:lineRule="auto"/>
        <w:rPr>
          <w:rFonts w:hint="eastAsia" w:ascii="黑体" w:hAnsi="黑体" w:eastAsia="黑体" w:cs="黑体"/>
          <w:color w:val="auto"/>
          <w:szCs w:val="30"/>
          <w:highlight w:val="none"/>
        </w:rPr>
      </w:pPr>
    </w:p>
    <w:p>
      <w:pPr>
        <w:ind w:left="1500" w:firstLine="626" w:firstLineChars="174"/>
        <w:rPr>
          <w:rFonts w:hint="eastAsia" w:ascii="黑体" w:hAnsi="黑体" w:eastAsia="黑体" w:cs="黑体"/>
          <w:color w:val="auto"/>
          <w:sz w:val="36"/>
          <w:highlight w:val="none"/>
          <w:u w:val="single"/>
        </w:rPr>
      </w:pPr>
    </w:p>
    <w:p>
      <w:pPr>
        <w:spacing w:line="480" w:lineRule="auto"/>
        <w:ind w:firstLine="482" w:firstLineChars="150"/>
        <w:jc w:val="center"/>
        <w:rPr>
          <w:rFonts w:hint="eastAsia" w:ascii="黑体" w:hAnsi="黑体" w:eastAsia="黑体" w:cs="黑体"/>
          <w:b/>
          <w:color w:val="auto"/>
          <w:sz w:val="32"/>
          <w:highlight w:val="none"/>
        </w:rPr>
        <w:sectPr>
          <w:headerReference r:id="rId4" w:type="first"/>
          <w:footerReference r:id="rId6" w:type="first"/>
          <w:headerReference r:id="rId3" w:type="default"/>
          <w:footerReference r:id="rId5" w:type="default"/>
          <w:pgSz w:w="11910" w:h="16840"/>
          <w:pgMar w:top="1440" w:right="1080" w:bottom="1440" w:left="1080"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120" w:line="360" w:lineRule="auto"/>
        <w:ind w:firstLine="482" w:firstLineChars="150"/>
        <w:jc w:val="center"/>
        <w:textAlignment w:val="auto"/>
        <w:rPr>
          <w:rFonts w:hint="eastAsia" w:ascii="黑体" w:hAnsi="黑体" w:eastAsia="黑体" w:cs="黑体"/>
          <w:b/>
          <w:color w:val="auto"/>
          <w:sz w:val="32"/>
          <w:highlight w:val="none"/>
        </w:rPr>
      </w:pPr>
      <w:r>
        <w:rPr>
          <w:rFonts w:hint="eastAsia" w:ascii="黑体" w:hAnsi="黑体" w:eastAsia="黑体" w:cs="黑体"/>
          <w:b/>
          <w:color w:val="auto"/>
          <w:sz w:val="32"/>
          <w:highlight w:val="none"/>
          <w:lang w:eastAsia="zh-CN"/>
        </w:rPr>
        <w:t>（</w:t>
      </w:r>
      <w:r>
        <w:rPr>
          <w:rFonts w:hint="eastAsia" w:ascii="黑体" w:hAnsi="黑体" w:eastAsia="黑体" w:cs="黑体"/>
          <w:b/>
          <w:color w:val="auto"/>
          <w:sz w:val="32"/>
          <w:highlight w:val="none"/>
          <w:lang w:val="en-US" w:eastAsia="zh-CN"/>
        </w:rPr>
        <w:t>六</w:t>
      </w:r>
      <w:r>
        <w:rPr>
          <w:rFonts w:hint="eastAsia" w:ascii="黑体" w:hAnsi="黑体" w:eastAsia="黑体" w:cs="黑体"/>
          <w:b/>
          <w:color w:val="auto"/>
          <w:sz w:val="32"/>
          <w:highlight w:val="none"/>
          <w:lang w:eastAsia="zh-CN"/>
        </w:rPr>
        <w:t>）</w:t>
      </w:r>
      <w:r>
        <w:rPr>
          <w:rFonts w:hint="eastAsia" w:ascii="黑体" w:hAnsi="黑体" w:eastAsia="黑体" w:cs="黑体"/>
          <w:b/>
          <w:color w:val="auto"/>
          <w:sz w:val="32"/>
          <w:highlight w:val="none"/>
        </w:rPr>
        <w:t>投 标 报 价</w:t>
      </w:r>
    </w:p>
    <w:p>
      <w:pPr>
        <w:pStyle w:val="2"/>
        <w:rPr>
          <w:rFonts w:hint="eastAsia" w:ascii="黑体" w:hAnsi="黑体" w:eastAsia="黑体" w:cs="黑体"/>
          <w:color w:val="auto"/>
          <w:highlight w:val="none"/>
        </w:rPr>
      </w:pPr>
    </w:p>
    <w:p>
      <w:pPr>
        <w:spacing w:before="120" w:after="120" w:line="360" w:lineRule="auto"/>
        <w:jc w:val="center"/>
        <w:rPr>
          <w:rFonts w:hint="eastAsia" w:ascii="黑体" w:hAnsi="黑体" w:eastAsia="黑体" w:cs="黑体"/>
          <w:color w:val="auto"/>
          <w:sz w:val="24"/>
          <w:szCs w:val="24"/>
          <w:highlight w:val="none"/>
          <w:u w:val="none"/>
        </w:rPr>
      </w:pPr>
      <w:r>
        <w:rPr>
          <w:rFonts w:hint="eastAsia" w:ascii="黑体" w:hAnsi="黑体" w:eastAsia="黑体" w:cs="黑体"/>
          <w:b/>
          <w:bCs/>
          <w:color w:val="auto"/>
          <w:sz w:val="24"/>
          <w:szCs w:val="24"/>
          <w:highlight w:val="none"/>
          <w:u w:val="none"/>
          <w:lang w:val="en-US" w:eastAsia="zh-CN"/>
        </w:rPr>
        <w:t>河北省科学技术厅办公业务用房改造修缮项目消防</w:t>
      </w:r>
      <w:r>
        <w:rPr>
          <w:rFonts w:hint="eastAsia" w:ascii="黑体" w:hAnsi="黑体" w:eastAsia="黑体" w:cs="黑体"/>
          <w:b/>
          <w:bCs/>
          <w:color w:val="auto"/>
          <w:sz w:val="24"/>
          <w:szCs w:val="24"/>
          <w:highlight w:val="none"/>
          <w:u w:val="none"/>
        </w:rPr>
        <w:t>工程报价表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jc w:val="left"/>
        <w:textAlignment w:val="auto"/>
        <w:outlineLvl w:val="1"/>
        <w:rPr>
          <w:rFonts w:hint="eastAsia" w:ascii="黑体" w:hAnsi="黑体" w:eastAsia="黑体" w:cs="黑体"/>
          <w:b/>
          <w:color w:val="auto"/>
          <w:sz w:val="32"/>
          <w:szCs w:val="22"/>
          <w:highlight w:val="none"/>
        </w:rPr>
      </w:pPr>
      <w:r>
        <w:rPr>
          <w:rFonts w:hint="eastAsia" w:ascii="黑体" w:hAnsi="黑体" w:eastAsia="黑体" w:cs="黑体"/>
          <w:b/>
          <w:color w:val="auto"/>
          <w:sz w:val="32"/>
          <w:szCs w:val="22"/>
          <w:highlight w:val="none"/>
          <w:lang w:val="en-US" w:eastAsia="zh-CN"/>
        </w:rPr>
        <w:t>表1：</w:t>
      </w:r>
      <w:r>
        <w:rPr>
          <w:rFonts w:hint="eastAsia" w:ascii="黑体" w:hAnsi="黑体" w:eastAsia="黑体" w:cs="黑体"/>
          <w:b/>
          <w:color w:val="auto"/>
          <w:sz w:val="32"/>
          <w:szCs w:val="22"/>
          <w:highlight w:val="none"/>
        </w:rPr>
        <w:t>报价表</w:t>
      </w:r>
    </w:p>
    <w:p>
      <w:pPr>
        <w:pStyle w:val="2"/>
        <w:spacing w:before="12"/>
        <w:ind w:left="210" w:leftChars="100" w:firstLine="10" w:firstLineChars="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备注：</w:t>
      </w:r>
    </w:p>
    <w:p>
      <w:pPr>
        <w:pStyle w:val="2"/>
        <w:spacing w:before="12"/>
        <w:ind w:left="210" w:leftChars="100" w:firstLine="240" w:firstLineChars="10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1、专业分包人提供发票类型</w:t>
      </w:r>
      <w:r>
        <w:rPr>
          <w:rFonts w:hint="eastAsia" w:ascii="黑体" w:hAnsi="黑体" w:eastAsia="黑体" w:cs="黑体"/>
          <w:color w:val="auto"/>
          <w:sz w:val="24"/>
          <w:szCs w:val="28"/>
          <w:highlight w:val="none"/>
          <w:lang w:val="en-US" w:eastAsia="zh-CN" w:bidi="zh-CN"/>
        </w:rPr>
        <w:t>（暂定）</w:t>
      </w:r>
      <w:r>
        <w:rPr>
          <w:rFonts w:hint="eastAsia" w:ascii="黑体" w:hAnsi="黑体" w:eastAsia="黑体" w:cs="黑体"/>
          <w:color w:val="auto"/>
          <w:sz w:val="24"/>
          <w:szCs w:val="28"/>
          <w:highlight w:val="none"/>
          <w:lang w:val="en-US" w:bidi="zh-CN"/>
        </w:rPr>
        <w:t>：增值税专用发票，税率9%。</w:t>
      </w:r>
    </w:p>
    <w:p>
      <w:pPr>
        <w:pStyle w:val="2"/>
        <w:spacing w:before="12"/>
        <w:ind w:left="210" w:leftChars="100" w:firstLine="240" w:firstLineChars="10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2、需满足施工图纸及初步设计图纸的设计和使用要求，符合国家现行验收规范和石家庄地区相关要求，含税成活全部做法。</w:t>
      </w:r>
    </w:p>
    <w:p>
      <w:pPr>
        <w:pStyle w:val="2"/>
        <w:spacing w:line="227" w:lineRule="exact"/>
        <w:ind w:left="210" w:leftChars="100" w:firstLine="240" w:firstLineChars="10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3、所报价格应充分考虑施工期内人工的价格波动风险，在工程结算时一律不再调整。</w:t>
      </w:r>
    </w:p>
    <w:p>
      <w:pPr>
        <w:pStyle w:val="2"/>
        <w:spacing w:before="9"/>
        <w:ind w:left="210" w:leftChars="100" w:firstLine="240" w:firstLineChars="10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4、专业分包人所有税费、保险费、措施费、安全文明施工费等所有费用，已包含在综合单价中。</w:t>
      </w:r>
    </w:p>
    <w:p>
      <w:pPr>
        <w:pStyle w:val="2"/>
        <w:ind w:left="210" w:leftChars="100" w:firstLine="240" w:firstLineChars="100"/>
        <w:jc w:val="both"/>
        <w:rPr>
          <w:rFonts w:hint="eastAsia" w:ascii="黑体" w:hAnsi="黑体" w:eastAsia="黑体" w:cs="黑体"/>
          <w:color w:val="auto"/>
          <w:sz w:val="24"/>
          <w:szCs w:val="28"/>
          <w:highlight w:val="none"/>
          <w:lang w:val="en-US" w:bidi="zh-CN"/>
        </w:rPr>
      </w:pPr>
      <w:r>
        <w:rPr>
          <w:rFonts w:hint="eastAsia" w:ascii="黑体" w:hAnsi="黑体" w:eastAsia="黑体" w:cs="黑体"/>
          <w:color w:val="auto"/>
          <w:sz w:val="24"/>
          <w:szCs w:val="28"/>
          <w:highlight w:val="none"/>
          <w:lang w:val="en-US" w:bidi="zh-CN"/>
        </w:rPr>
        <w:t>5、工程结算时，只调整发包人认可并予以审定的变更签证等工程造价。</w:t>
      </w:r>
    </w:p>
    <w:p>
      <w:pPr>
        <w:pStyle w:val="17"/>
        <w:ind w:firstLine="480" w:firstLineChars="200"/>
        <w:rPr>
          <w:rFonts w:hint="default" w:ascii="黑体" w:hAnsi="黑体" w:eastAsia="黑体" w:cs="黑体"/>
          <w:color w:val="auto"/>
          <w:kern w:val="2"/>
          <w:sz w:val="24"/>
          <w:szCs w:val="28"/>
          <w:highlight w:val="none"/>
          <w:lang w:val="en-US" w:eastAsia="zh-CN" w:bidi="zh-CN"/>
        </w:rPr>
      </w:pPr>
      <w:r>
        <w:rPr>
          <w:rFonts w:hint="eastAsia" w:ascii="黑体" w:hAnsi="黑体" w:eastAsia="黑体" w:cs="黑体"/>
          <w:color w:val="auto"/>
          <w:kern w:val="2"/>
          <w:sz w:val="24"/>
          <w:szCs w:val="28"/>
          <w:highlight w:val="none"/>
          <w:lang w:val="en-US" w:eastAsia="zh-CN" w:bidi="zh-CN"/>
        </w:rPr>
        <w:t>6、专业分包人需响应发包人与建设单位的施工总承包合同、招标文件、清单编制说明及各项管理办法、文件要求。</w:t>
      </w:r>
    </w:p>
    <w:p>
      <w:pPr>
        <w:tabs>
          <w:tab w:val="left" w:pos="13030"/>
        </w:tabs>
        <w:spacing w:before="119" w:after="20"/>
        <w:ind w:left="318" w:right="798" w:rightChars="380"/>
        <w:jc w:val="left"/>
        <w:rPr>
          <w:rFonts w:hint="eastAsia"/>
          <w:lang w:val="en-US" w:eastAsia="zh-CN"/>
        </w:rPr>
      </w:pPr>
      <w:bookmarkStart w:id="0" w:name="_bookmark20"/>
      <w:bookmarkEnd w:id="0"/>
      <w:r>
        <w:rPr>
          <w:rFonts w:hint="eastAsia" w:ascii="黑体" w:hAnsi="黑体" w:eastAsia="黑体" w:cs="黑体"/>
          <w:b/>
          <w:color w:val="auto"/>
          <w:sz w:val="21"/>
          <w:highlight w:val="none"/>
          <w:lang w:val="en-US" w:eastAsia="zh-CN"/>
        </w:rPr>
        <w:t xml:space="preserve">                                                                   </w:t>
      </w:r>
    </w:p>
    <w:p>
      <w:pPr>
        <w:rPr>
          <w:rFonts w:hint="eastAsia" w:ascii="黑体" w:hAnsi="黑体" w:eastAsia="黑体" w:cs="黑体"/>
          <w:color w:val="auto"/>
          <w:sz w:val="18"/>
          <w:highlight w:val="none"/>
        </w:rPr>
        <w:sectPr>
          <w:pgSz w:w="11911" w:h="16840"/>
          <w:pgMar w:top="1123" w:right="278" w:bottom="1100" w:left="533"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黑体" w:hAnsi="黑体" w:eastAsia="黑体" w:cs="黑体"/>
          <w:color w:val="auto"/>
          <w:sz w:val="18"/>
          <w:highlight w:val="none"/>
        </w:rPr>
        <w:br w:type="page"/>
      </w:r>
    </w:p>
    <w:p>
      <w:pPr>
        <w:pStyle w:val="2"/>
        <w:rPr>
          <w:rFonts w:hint="eastAsia" w:ascii="黑体" w:hAnsi="黑体" w:eastAsia="黑体" w:cs="黑体"/>
          <w:color w:val="auto"/>
          <w:highlight w:val="none"/>
        </w:rPr>
      </w:pPr>
    </w:p>
    <w:p>
      <w:pPr>
        <w:spacing w:line="480" w:lineRule="auto"/>
        <w:ind w:firstLine="482" w:firstLineChars="150"/>
        <w:jc w:val="center"/>
        <w:outlineLvl w:val="1"/>
        <w:rPr>
          <w:rFonts w:hint="eastAsia" w:ascii="黑体" w:hAnsi="黑体" w:eastAsia="黑体" w:cs="黑体"/>
          <w:b/>
          <w:color w:val="auto"/>
          <w:sz w:val="32"/>
          <w:szCs w:val="22"/>
          <w:highlight w:val="none"/>
          <w:lang w:val="en-US" w:eastAsia="zh-CN"/>
        </w:rPr>
      </w:pPr>
      <w:r>
        <w:rPr>
          <w:rFonts w:hint="eastAsia" w:ascii="黑体" w:hAnsi="黑体" w:eastAsia="黑体" w:cs="黑体"/>
          <w:b/>
          <w:color w:val="auto"/>
          <w:sz w:val="32"/>
          <w:szCs w:val="22"/>
          <w:highlight w:val="none"/>
          <w:lang w:val="en-US" w:eastAsia="zh-CN"/>
        </w:rPr>
        <w:t>表2：主要品牌设备选用表</w:t>
      </w:r>
    </w:p>
    <w:p>
      <w:pPr>
        <w:spacing w:before="120" w:after="120" w:line="360" w:lineRule="auto"/>
        <w:jc w:val="both"/>
        <w:rPr>
          <w:rFonts w:hint="eastAsia" w:ascii="黑体" w:hAnsi="黑体" w:eastAsia="黑体" w:cs="黑体"/>
          <w:b/>
          <w:color w:val="auto"/>
          <w:sz w:val="21"/>
          <w:szCs w:val="22"/>
          <w:highlight w:val="none"/>
          <w:lang w:val="en-US" w:eastAsia="zh-CN"/>
        </w:rPr>
      </w:pPr>
      <w:r>
        <w:rPr>
          <w:rFonts w:hint="eastAsia" w:ascii="黑体" w:hAnsi="黑体" w:eastAsia="黑体" w:cs="黑体"/>
          <w:b/>
          <w:color w:val="auto"/>
          <w:sz w:val="21"/>
          <w:highlight w:val="none"/>
        </w:rPr>
        <w:t>工程名称：：</w:t>
      </w:r>
      <w:r>
        <w:rPr>
          <w:rFonts w:hint="eastAsia" w:ascii="黑体" w:hAnsi="黑体" w:eastAsia="黑体" w:cs="黑体"/>
          <w:b/>
          <w:color w:val="auto"/>
          <w:sz w:val="24"/>
          <w:szCs w:val="24"/>
          <w:highlight w:val="none"/>
          <w:u w:val="single"/>
          <w:lang w:val="en-US" w:eastAsia="zh-CN"/>
        </w:rPr>
        <w:t xml:space="preserve">河北省科学技术厅办公业务用房改造修缮项目 </w:t>
      </w:r>
    </w:p>
    <w:tbl>
      <w:tblPr>
        <w:tblStyle w:val="37"/>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415"/>
        <w:gridCol w:w="59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241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设备材料名称</w:t>
            </w:r>
          </w:p>
        </w:tc>
        <w:tc>
          <w:tcPr>
            <w:tcW w:w="595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招标品牌要求</w:t>
            </w:r>
          </w:p>
        </w:tc>
        <w:tc>
          <w:tcPr>
            <w:tcW w:w="321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1</w:t>
            </w:r>
          </w:p>
        </w:tc>
        <w:tc>
          <w:tcPr>
            <w:tcW w:w="241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2</w:t>
            </w:r>
          </w:p>
        </w:tc>
        <w:tc>
          <w:tcPr>
            <w:tcW w:w="241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3</w:t>
            </w:r>
          </w:p>
        </w:tc>
        <w:tc>
          <w:tcPr>
            <w:tcW w:w="241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w:t>
            </w:r>
          </w:p>
        </w:tc>
        <w:tc>
          <w:tcPr>
            <w:tcW w:w="241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5"/>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2510" w:type="dxa"/>
            <w:gridSpan w:val="4"/>
            <w:vAlign w:val="top"/>
          </w:tcPr>
          <w:p>
            <w:pPr>
              <w:pStyle w:val="35"/>
              <w:ind w:left="0" w:leftChars="0" w:firstLine="0" w:firstLineChars="0"/>
              <w:jc w:val="both"/>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备注：</w:t>
            </w:r>
          </w:p>
          <w:p>
            <w:pPr>
              <w:pStyle w:val="35"/>
              <w:ind w:left="0" w:leftChars="0" w:firstLine="0" w:firstLineChars="0"/>
              <w:jc w:val="both"/>
              <w:rPr>
                <w:rFonts w:hint="eastAsia" w:ascii="黑体" w:hAnsi="黑体" w:eastAsia="黑体" w:cs="黑体"/>
                <w:color w:val="auto"/>
                <w:highlight w:val="none"/>
                <w:vertAlign w:val="baseline"/>
                <w:lang w:val="en-US" w:eastAsia="zh-CN"/>
              </w:rPr>
            </w:pPr>
          </w:p>
        </w:tc>
      </w:tr>
    </w:tbl>
    <w:p>
      <w:pPr>
        <w:rPr>
          <w:rFonts w:hint="eastAsia" w:ascii="黑体" w:hAnsi="黑体" w:eastAsia="黑体" w:cs="黑体"/>
          <w:color w:val="auto"/>
          <w:highlight w:val="none"/>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line="312" w:lineRule="auto"/>
        <w:ind w:right="-92" w:rightChars="-44" w:firstLine="482" w:firstLineChars="200"/>
        <w:jc w:val="left"/>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kern w:val="0"/>
          <w:sz w:val="24"/>
          <w:szCs w:val="24"/>
          <w:highlight w:val="none"/>
          <w:lang w:val="en-US" w:eastAsia="zh-CN" w:bidi="ar"/>
        </w:rPr>
        <w:t>招标品牌要求详见招标公告“第四条款招标范围：</w:t>
      </w:r>
      <w:r>
        <w:rPr>
          <w:rFonts w:hint="eastAsia" w:ascii="黑体" w:hAnsi="黑体" w:eastAsia="黑体" w:cs="黑体"/>
          <w:b/>
          <w:bCs/>
          <w:color w:val="auto"/>
          <w:sz w:val="24"/>
          <w:szCs w:val="24"/>
          <w:highlight w:val="none"/>
          <w:u w:val="none"/>
        </w:rPr>
        <w:t>主要材料品牌表</w:t>
      </w:r>
      <w:r>
        <w:rPr>
          <w:rFonts w:hint="eastAsia" w:ascii="黑体" w:hAnsi="黑体" w:eastAsia="黑体" w:cs="黑体"/>
          <w:b/>
          <w:bCs/>
          <w:color w:val="auto"/>
          <w:sz w:val="24"/>
          <w:szCs w:val="24"/>
          <w:highlight w:val="none"/>
          <w:u w:val="none"/>
          <w:lang w:eastAsia="zh-CN"/>
        </w:rPr>
        <w:t>”。</w:t>
      </w:r>
      <w:r>
        <w:rPr>
          <w:rFonts w:hint="eastAsia" w:ascii="黑体" w:hAnsi="黑体" w:eastAsia="黑体" w:cs="黑体"/>
          <w:b/>
          <w:bCs/>
          <w:color w:val="auto"/>
          <w:sz w:val="24"/>
          <w:szCs w:val="24"/>
          <w:highlight w:val="none"/>
          <w:u w:val="none"/>
          <w:lang w:val="en-US" w:eastAsia="zh-CN"/>
        </w:rPr>
        <w:t>该表中规定主要材料品牌的，须按品牌要求选用；</w:t>
      </w:r>
      <w:r>
        <w:rPr>
          <w:rFonts w:hint="eastAsia" w:ascii="黑体" w:hAnsi="黑体" w:eastAsia="黑体" w:cs="黑体"/>
          <w:b/>
          <w:bCs/>
          <w:color w:val="auto"/>
          <w:kern w:val="0"/>
          <w:sz w:val="24"/>
          <w:szCs w:val="24"/>
          <w:highlight w:val="none"/>
          <w:u w:val="none"/>
          <w:lang w:val="en-US" w:eastAsia="zh-CN" w:bidi="ar"/>
        </w:rPr>
        <w:t>表中未</w:t>
      </w:r>
      <w:r>
        <w:rPr>
          <w:rFonts w:hint="eastAsia" w:ascii="黑体" w:hAnsi="黑体" w:eastAsia="黑体" w:cs="黑体"/>
          <w:b/>
          <w:bCs/>
          <w:color w:val="auto"/>
          <w:sz w:val="24"/>
          <w:szCs w:val="24"/>
          <w:highlight w:val="none"/>
          <w:u w:val="none"/>
          <w:lang w:val="en-US" w:eastAsia="zh-CN"/>
        </w:rPr>
        <w:t>规定</w:t>
      </w:r>
      <w:r>
        <w:rPr>
          <w:rFonts w:hint="eastAsia" w:ascii="黑体" w:hAnsi="黑体" w:eastAsia="黑体" w:cs="黑体"/>
          <w:b/>
          <w:bCs/>
          <w:color w:val="auto"/>
          <w:sz w:val="24"/>
          <w:szCs w:val="24"/>
          <w:highlight w:val="none"/>
          <w:u w:val="none"/>
        </w:rPr>
        <w:t>主要材料品牌</w:t>
      </w:r>
      <w:r>
        <w:rPr>
          <w:rFonts w:hint="eastAsia" w:ascii="黑体" w:hAnsi="黑体" w:eastAsia="黑体" w:cs="黑体"/>
          <w:b/>
          <w:bCs/>
          <w:color w:val="auto"/>
          <w:sz w:val="24"/>
          <w:szCs w:val="24"/>
          <w:highlight w:val="none"/>
          <w:u w:val="none"/>
          <w:lang w:val="en-US" w:eastAsia="zh-CN"/>
        </w:rPr>
        <w:t>的，由投标人自行考虑，但须满足图纸设计、使用和验收要求，符合国家现行验收规范且在本表“响应品牌”中列明。</w:t>
      </w:r>
    </w:p>
    <w:p>
      <w:pPr>
        <w:pStyle w:val="16"/>
        <w:numPr>
          <w:ilvl w:val="0"/>
          <w:numId w:val="0"/>
        </w:numPr>
        <w:topLinePunct/>
        <w:spacing w:line="400" w:lineRule="exact"/>
        <w:ind w:leftChars="-40" w:right="-92" w:rightChars="-44"/>
        <w:rPr>
          <w:rFonts w:hint="eastAsia" w:ascii="黑体" w:hAnsi="黑体" w:eastAsia="黑体" w:cs="黑体"/>
          <w:b w:val="0"/>
          <w:bCs w:val="0"/>
          <w:color w:val="auto"/>
          <w:kern w:val="0"/>
          <w:sz w:val="24"/>
          <w:szCs w:val="24"/>
          <w:highlight w:val="none"/>
          <w:u w:val="single"/>
          <w:lang w:val="en-US" w:eastAsia="zh-CN" w:bidi="ar"/>
        </w:rPr>
      </w:pPr>
    </w:p>
    <w:p>
      <w:pPr>
        <w:rPr>
          <w:rFonts w:hint="eastAsia" w:ascii="黑体" w:hAnsi="黑体" w:eastAsia="黑体" w:cs="黑体"/>
          <w:b/>
          <w:bCs w:val="0"/>
          <w:color w:val="auto"/>
          <w:sz w:val="32"/>
          <w:szCs w:val="22"/>
          <w:highlight w:val="none"/>
          <w:lang w:val="en-US" w:eastAsia="zh-CN"/>
        </w:rPr>
      </w:pPr>
      <w:r>
        <w:rPr>
          <w:rFonts w:hint="eastAsia" w:ascii="黑体" w:hAnsi="黑体" w:eastAsia="黑体" w:cs="黑体"/>
          <w:color w:val="auto"/>
          <w:highlight w:val="none"/>
          <w:lang w:val="en-US" w:eastAsia="zh-CN"/>
        </w:rPr>
        <w:br w:type="page"/>
      </w:r>
    </w:p>
    <w:p>
      <w:pPr>
        <w:spacing w:line="480" w:lineRule="auto"/>
        <w:ind w:firstLine="482" w:firstLineChars="150"/>
        <w:jc w:val="center"/>
        <w:outlineLvl w:val="1"/>
        <w:rPr>
          <w:rFonts w:hint="eastAsia" w:ascii="黑体" w:hAnsi="黑体" w:eastAsia="黑体" w:cs="黑体"/>
          <w:b/>
          <w:bCs w:val="0"/>
          <w:color w:val="auto"/>
          <w:sz w:val="32"/>
          <w:szCs w:val="22"/>
          <w:highlight w:val="none"/>
          <w:lang w:val="en-US" w:eastAsia="zh-CN"/>
        </w:rPr>
      </w:pPr>
      <w:r>
        <w:rPr>
          <w:rFonts w:hint="eastAsia" w:ascii="黑体" w:hAnsi="黑体" w:eastAsia="黑体" w:cs="黑体"/>
          <w:b/>
          <w:bCs w:val="0"/>
          <w:color w:val="auto"/>
          <w:sz w:val="32"/>
          <w:szCs w:val="22"/>
          <w:highlight w:val="none"/>
          <w:lang w:val="en-US" w:eastAsia="zh-CN"/>
        </w:rPr>
        <w:t>表3：</w:t>
      </w:r>
      <w:r>
        <w:rPr>
          <w:rFonts w:hint="eastAsia" w:ascii="黑体" w:hAnsi="黑体" w:eastAsia="黑体" w:cs="黑体"/>
          <w:b/>
          <w:bCs w:val="0"/>
          <w:color w:val="auto"/>
          <w:kern w:val="2"/>
          <w:sz w:val="32"/>
          <w:szCs w:val="22"/>
          <w:highlight w:val="none"/>
          <w:lang w:val="en-US" w:eastAsia="zh-CN" w:bidi="ar-SA"/>
        </w:rPr>
        <w:t>增补清单报价</w:t>
      </w:r>
    </w:p>
    <w:tbl>
      <w:tblPr>
        <w:tblStyle w:val="37"/>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660"/>
        <w:gridCol w:w="2029"/>
        <w:gridCol w:w="2940"/>
        <w:gridCol w:w="960"/>
        <w:gridCol w:w="1350"/>
        <w:gridCol w:w="1815"/>
        <w:gridCol w:w="144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序号</w:t>
            </w:r>
          </w:p>
        </w:tc>
        <w:tc>
          <w:tcPr>
            <w:tcW w:w="1660"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项目编码</w:t>
            </w:r>
          </w:p>
        </w:tc>
        <w:tc>
          <w:tcPr>
            <w:tcW w:w="2029"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项目名称</w:t>
            </w:r>
          </w:p>
        </w:tc>
        <w:tc>
          <w:tcPr>
            <w:tcW w:w="2940"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项目特征</w:t>
            </w:r>
          </w:p>
        </w:tc>
        <w:tc>
          <w:tcPr>
            <w:tcW w:w="960"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计量单位</w:t>
            </w:r>
          </w:p>
        </w:tc>
        <w:tc>
          <w:tcPr>
            <w:tcW w:w="1350"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工程量</w:t>
            </w:r>
          </w:p>
        </w:tc>
        <w:tc>
          <w:tcPr>
            <w:tcW w:w="1815"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综合单价</w:t>
            </w:r>
          </w:p>
        </w:tc>
        <w:tc>
          <w:tcPr>
            <w:tcW w:w="1445"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合价</w:t>
            </w:r>
          </w:p>
        </w:tc>
        <w:tc>
          <w:tcPr>
            <w:tcW w:w="970" w:type="dxa"/>
            <w:vAlign w:val="center"/>
          </w:tcPr>
          <w:p>
            <w:pPr>
              <w:pStyle w:val="35"/>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5"/>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1</w:t>
            </w:r>
          </w:p>
        </w:tc>
        <w:tc>
          <w:tcPr>
            <w:tcW w:w="16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Align w:val="center"/>
          </w:tcPr>
          <w:p>
            <w:pPr>
              <w:pStyle w:val="35"/>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2</w:t>
            </w:r>
          </w:p>
        </w:tc>
        <w:tc>
          <w:tcPr>
            <w:tcW w:w="16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5"/>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3</w:t>
            </w:r>
          </w:p>
        </w:tc>
        <w:tc>
          <w:tcPr>
            <w:tcW w:w="16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3650" w:type="dxa"/>
            <w:gridSpan w:val="9"/>
            <w:vAlign w:val="center"/>
          </w:tcPr>
          <w:p>
            <w:pPr>
              <w:pStyle w:val="2"/>
              <w:numPr>
                <w:ilvl w:val="0"/>
                <w:numId w:val="6"/>
              </w:numP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参考招标人提供的工程量清单（招标清单只作为参考，招标人不保证是完整无缺的），投标人须根据发包人总合同相关条款要求，编制增补清单。</w:t>
            </w:r>
          </w:p>
          <w:p>
            <w:pPr>
              <w:pStyle w:val="2"/>
              <w:numPr>
                <w:ilvl w:val="0"/>
                <w:numId w:val="6"/>
              </w:numP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投标人报价时须同时提供盖章版Excel表格报价及广联达软件版报价。</w:t>
            </w:r>
          </w:p>
          <w:p>
            <w:pPr>
              <w:pStyle w:val="2"/>
              <w:numPr>
                <w:ilvl w:val="0"/>
                <w:numId w:val="6"/>
              </w:numP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sz w:val="24"/>
                <w:szCs w:val="24"/>
                <w:highlight w:val="none"/>
                <w:lang w:val="en-US" w:eastAsia="zh-CN"/>
              </w:rPr>
              <w:t>增补清单最终结算以建设单位认可的综合单价/基数*报价后进行结算。</w:t>
            </w:r>
          </w:p>
          <w:p>
            <w:pPr>
              <w:pStyle w:val="35"/>
              <w:jc w:val="center"/>
              <w:rPr>
                <w:rFonts w:hint="eastAsia" w:ascii="黑体" w:hAnsi="黑体" w:eastAsia="黑体" w:cs="黑体"/>
                <w:b w:val="0"/>
                <w:bCs/>
                <w:color w:val="auto"/>
                <w:kern w:val="2"/>
                <w:sz w:val="24"/>
                <w:szCs w:val="24"/>
                <w:highlight w:val="none"/>
                <w:vertAlign w:val="baseline"/>
                <w:lang w:val="en-US" w:eastAsia="zh-CN" w:bidi="ar-SA"/>
              </w:rPr>
            </w:pPr>
          </w:p>
        </w:tc>
      </w:tr>
    </w:tbl>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eastAsia" w:ascii="黑体" w:hAnsi="黑体" w:eastAsia="黑体" w:cs="黑体"/>
          <w:b/>
          <w:color w:val="auto"/>
          <w:kern w:val="2"/>
          <w:sz w:val="32"/>
          <w:szCs w:val="22"/>
          <w:highlight w:val="none"/>
          <w:lang w:val="en-US" w:eastAsia="zh-CN" w:bidi="ar-SA"/>
        </w:rPr>
      </w:pPr>
    </w:p>
    <w:p>
      <w:pPr>
        <w:pStyle w:val="35"/>
        <w:rPr>
          <w:rFonts w:hint="default" w:ascii="黑体" w:hAnsi="黑体" w:eastAsia="黑体" w:cs="黑体"/>
          <w:b/>
          <w:color w:val="auto"/>
          <w:kern w:val="2"/>
          <w:sz w:val="32"/>
          <w:szCs w:val="22"/>
          <w:highlight w:val="none"/>
          <w:lang w:val="en-US" w:eastAsia="zh-CN" w:bidi="ar-SA"/>
        </w:rPr>
        <w:sectPr>
          <w:pgSz w:w="16840" w:h="11911" w:orient="landscape"/>
          <w:pgMar w:top="533" w:right="1123" w:bottom="278" w:left="1100"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黑体" w:hAnsi="黑体" w:eastAsia="黑体" w:cs="黑体"/>
          <w:b/>
          <w:color w:val="auto"/>
          <w:kern w:val="2"/>
          <w:sz w:val="32"/>
          <w:szCs w:val="22"/>
          <w:highlight w:val="none"/>
          <w:lang w:val="en-US" w:eastAsia="zh-CN" w:bidi="ar-SA"/>
        </w:rPr>
        <w:t>(七）主要管理人员证件复印件（包括但不限于项目经理以及施工员、安全员等相关人员证据）</w:t>
      </w:r>
    </w:p>
    <w:p>
      <w:pPr>
        <w:rPr>
          <w:rFonts w:hint="eastAsia" w:ascii="黑体" w:hAnsi="黑体" w:eastAsia="黑体" w:cs="黑体"/>
          <w:color w:val="auto"/>
          <w:highlight w:val="none"/>
        </w:rPr>
      </w:pPr>
    </w:p>
    <w:p>
      <w:pPr>
        <w:pStyle w:val="2"/>
        <w:rPr>
          <w:rFonts w:hint="eastAsia" w:ascii="黑体" w:hAnsi="黑体" w:eastAsia="黑体" w:cs="黑体"/>
          <w:color w:val="auto"/>
          <w:highlight w:val="none"/>
        </w:rPr>
      </w:pPr>
    </w:p>
    <w:p>
      <w:pPr>
        <w:spacing w:line="480" w:lineRule="auto"/>
        <w:jc w:val="center"/>
        <w:rPr>
          <w:rFonts w:hint="eastAsia" w:ascii="黑体" w:hAnsi="黑体" w:eastAsia="黑体" w:cs="黑体"/>
          <w:b/>
          <w:color w:val="auto"/>
          <w:sz w:val="44"/>
          <w:szCs w:val="44"/>
          <w:highlight w:val="none"/>
        </w:rPr>
      </w:pPr>
      <w:r>
        <w:rPr>
          <w:rFonts w:hint="eastAsia" w:ascii="黑体" w:hAnsi="黑体" w:eastAsia="黑体" w:cs="黑体"/>
          <w:b/>
          <w:bCs/>
          <w:color w:val="auto"/>
          <w:sz w:val="32"/>
          <w:szCs w:val="32"/>
          <w:highlight w:val="none"/>
        </w:rPr>
        <w:t>技术部分</w:t>
      </w:r>
    </w:p>
    <w:p>
      <w:pPr>
        <w:spacing w:line="48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注：技术部分包括施工组织设计（或施工方案）及组织机构拟配备人员表</w:t>
      </w:r>
    </w:p>
    <w:p>
      <w:pPr>
        <w:spacing w:line="48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 xml:space="preserve">    各投标单位无需上传网上招标系统，谈判阶段报送纸质版。</w:t>
      </w:r>
    </w:p>
    <w:p>
      <w:pPr>
        <w:spacing w:line="48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eastAsia="zh-CN"/>
        </w:rPr>
        <w:t>一、</w:t>
      </w:r>
      <w:r>
        <w:rPr>
          <w:rFonts w:hint="eastAsia" w:ascii="黑体" w:hAnsi="黑体" w:eastAsia="黑体" w:cs="黑体"/>
          <w:b/>
          <w:color w:val="auto"/>
          <w:sz w:val="30"/>
          <w:szCs w:val="30"/>
          <w:highlight w:val="none"/>
        </w:rPr>
        <w:t>施工组织设计（或施工方案）</w:t>
      </w:r>
    </w:p>
    <w:p>
      <w:pPr>
        <w:spacing w:line="440" w:lineRule="exact"/>
        <w:ind w:firstLine="538"/>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人应编制施工组织设计，编制时应采用文字并结合图表形式说明主要分部分项施工方案；拟投入的主要施工机械设备情况、劳动力计划等；结合招标工程特点提出切实可行的工程质量、安全生产、文明施工、工程进度、技术组织措施，同时应对关键工序、复杂环节重点提出相应技术措施。</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szCs w:val="22"/>
          <w:highlight w:val="none"/>
        </w:rPr>
        <w:t>施工组织设计应简明扼要，要求不超过100页。</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附表一  拟投入本分包工程的主要施工设备表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附表二  拟配备本分包工程的试验和检测仪器设备表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附表三  劳动力计划表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附表四  计划开、完工日期和施工进度网络图</w:t>
      </w:r>
    </w:p>
    <w:p>
      <w:pPr>
        <w:pStyle w:val="79"/>
        <w:rPr>
          <w:rFonts w:hint="eastAsia" w:ascii="黑体" w:hAnsi="黑体" w:eastAsia="黑体" w:cs="黑体"/>
          <w:color w:val="auto"/>
          <w:szCs w:val="23"/>
          <w:highlight w:val="none"/>
        </w:rPr>
      </w:pPr>
      <w:bookmarkStart w:id="1" w:name="_Toc342296581"/>
      <w:bookmarkStart w:id="2" w:name="_Toc152045797"/>
      <w:bookmarkStart w:id="3" w:name="_Toc362253047"/>
      <w:bookmarkStart w:id="4" w:name="_Toc241459824"/>
      <w:bookmarkStart w:id="5" w:name="_Toc179632817"/>
      <w:bookmarkStart w:id="6" w:name="_Toc144974865"/>
      <w:bookmarkStart w:id="7" w:name="_Toc152042586"/>
      <w:r>
        <w:rPr>
          <w:rFonts w:hint="eastAsia" w:ascii="黑体" w:hAnsi="黑体" w:eastAsia="黑体" w:cs="黑体"/>
          <w:color w:val="auto"/>
          <w:highlight w:val="none"/>
        </w:rPr>
        <w:t>附表一：</w:t>
      </w:r>
      <w:r>
        <w:rPr>
          <w:rFonts w:hint="eastAsia" w:ascii="黑体" w:hAnsi="黑体" w:eastAsia="黑体" w:cs="黑体"/>
          <w:color w:val="auto"/>
          <w:szCs w:val="23"/>
          <w:highlight w:val="none"/>
        </w:rPr>
        <w:t>拟投入本分包工程的主要施工设备表</w:t>
      </w:r>
      <w:bookmarkEnd w:id="1"/>
      <w:bookmarkEnd w:id="2"/>
      <w:bookmarkEnd w:id="3"/>
      <w:bookmarkEnd w:id="4"/>
      <w:bookmarkEnd w:id="5"/>
      <w:bookmarkEnd w:id="6"/>
      <w:bookmarkEnd w:id="7"/>
    </w:p>
    <w:p>
      <w:pPr>
        <w:spacing w:line="440" w:lineRule="exact"/>
        <w:rPr>
          <w:rFonts w:hint="eastAsia" w:ascii="黑体" w:hAnsi="黑体" w:eastAsia="黑体" w:cs="黑体"/>
          <w:color w:val="auto"/>
          <w:sz w:val="20"/>
          <w:szCs w:val="20"/>
          <w:highlight w:val="none"/>
        </w:rPr>
      </w:pPr>
    </w:p>
    <w:tbl>
      <w:tblPr>
        <w:tblStyle w:val="36"/>
        <w:tblW w:w="4643"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42"/>
        <w:gridCol w:w="1008"/>
        <w:gridCol w:w="1021"/>
        <w:gridCol w:w="1183"/>
        <w:gridCol w:w="865"/>
        <w:gridCol w:w="1429"/>
        <w:gridCol w:w="1023"/>
        <w:gridCol w:w="125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spacing w:line="440" w:lineRule="exact"/>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68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设备名称</w:t>
            </w:r>
          </w:p>
        </w:tc>
        <w:tc>
          <w:tcPr>
            <w:tcW w:w="479"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型号</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规格</w:t>
            </w:r>
          </w:p>
        </w:tc>
        <w:tc>
          <w:tcPr>
            <w:tcW w:w="48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  量</w:t>
            </w:r>
          </w:p>
        </w:tc>
        <w:tc>
          <w:tcPr>
            <w:tcW w:w="562"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国别</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产地</w:t>
            </w:r>
          </w:p>
        </w:tc>
        <w:tc>
          <w:tcPr>
            <w:tcW w:w="411"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制造</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年份</w:t>
            </w:r>
          </w:p>
        </w:tc>
        <w:tc>
          <w:tcPr>
            <w:tcW w:w="679"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额定功率（KW）</w:t>
            </w:r>
          </w:p>
        </w:tc>
        <w:tc>
          <w:tcPr>
            <w:tcW w:w="48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生产</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能力</w:t>
            </w:r>
          </w:p>
        </w:tc>
        <w:tc>
          <w:tcPr>
            <w:tcW w:w="594"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用于施工部位</w:t>
            </w:r>
          </w:p>
        </w:tc>
        <w:tc>
          <w:tcPr>
            <w:tcW w:w="19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spacing w:line="440" w:lineRule="exact"/>
              <w:jc w:val="center"/>
              <w:rPr>
                <w:rFonts w:hint="eastAsia" w:ascii="黑体" w:hAnsi="黑体" w:eastAsia="黑体" w:cs="黑体"/>
                <w:color w:val="auto"/>
                <w:szCs w:val="21"/>
                <w:highlight w:val="none"/>
              </w:rPr>
            </w:pPr>
          </w:p>
        </w:tc>
        <w:tc>
          <w:tcPr>
            <w:tcW w:w="686" w:type="pct"/>
            <w:noWrap w:val="0"/>
            <w:vAlign w:val="center"/>
          </w:tcPr>
          <w:p>
            <w:pPr>
              <w:spacing w:line="440" w:lineRule="exact"/>
              <w:jc w:val="center"/>
              <w:rPr>
                <w:rFonts w:hint="eastAsia" w:ascii="黑体" w:hAnsi="黑体" w:eastAsia="黑体" w:cs="黑体"/>
                <w:color w:val="auto"/>
                <w:szCs w:val="21"/>
                <w:highlight w:val="none"/>
              </w:rPr>
            </w:pPr>
          </w:p>
        </w:tc>
        <w:tc>
          <w:tcPr>
            <w:tcW w:w="479" w:type="pct"/>
            <w:noWrap w:val="0"/>
            <w:vAlign w:val="center"/>
          </w:tcPr>
          <w:p>
            <w:pPr>
              <w:spacing w:line="440" w:lineRule="exact"/>
              <w:jc w:val="center"/>
              <w:rPr>
                <w:rFonts w:hint="eastAsia" w:ascii="黑体" w:hAnsi="黑体" w:eastAsia="黑体" w:cs="黑体"/>
                <w:color w:val="auto"/>
                <w:szCs w:val="21"/>
                <w:highlight w:val="none"/>
              </w:rPr>
            </w:pPr>
          </w:p>
        </w:tc>
        <w:tc>
          <w:tcPr>
            <w:tcW w:w="485" w:type="pct"/>
            <w:noWrap w:val="0"/>
            <w:vAlign w:val="center"/>
          </w:tcPr>
          <w:p>
            <w:pPr>
              <w:spacing w:line="440" w:lineRule="exact"/>
              <w:jc w:val="center"/>
              <w:rPr>
                <w:rFonts w:hint="eastAsia" w:ascii="黑体" w:hAnsi="黑体" w:eastAsia="黑体" w:cs="黑体"/>
                <w:color w:val="auto"/>
                <w:szCs w:val="21"/>
                <w:highlight w:val="none"/>
              </w:rPr>
            </w:pPr>
          </w:p>
        </w:tc>
        <w:tc>
          <w:tcPr>
            <w:tcW w:w="562" w:type="pct"/>
            <w:noWrap w:val="0"/>
            <w:vAlign w:val="center"/>
          </w:tcPr>
          <w:p>
            <w:pPr>
              <w:spacing w:line="440" w:lineRule="exact"/>
              <w:jc w:val="center"/>
              <w:rPr>
                <w:rFonts w:hint="eastAsia" w:ascii="黑体" w:hAnsi="黑体" w:eastAsia="黑体" w:cs="黑体"/>
                <w:color w:val="auto"/>
                <w:szCs w:val="21"/>
                <w:highlight w:val="none"/>
              </w:rPr>
            </w:pPr>
          </w:p>
        </w:tc>
        <w:tc>
          <w:tcPr>
            <w:tcW w:w="411" w:type="pct"/>
            <w:noWrap w:val="0"/>
            <w:vAlign w:val="center"/>
          </w:tcPr>
          <w:p>
            <w:pPr>
              <w:spacing w:line="440" w:lineRule="exact"/>
              <w:jc w:val="center"/>
              <w:rPr>
                <w:rFonts w:hint="eastAsia" w:ascii="黑体" w:hAnsi="黑体" w:eastAsia="黑体" w:cs="黑体"/>
                <w:color w:val="auto"/>
                <w:szCs w:val="21"/>
                <w:highlight w:val="none"/>
              </w:rPr>
            </w:pPr>
          </w:p>
        </w:tc>
        <w:tc>
          <w:tcPr>
            <w:tcW w:w="679" w:type="pct"/>
            <w:noWrap w:val="0"/>
            <w:vAlign w:val="center"/>
          </w:tcPr>
          <w:p>
            <w:pPr>
              <w:spacing w:line="440" w:lineRule="exact"/>
              <w:jc w:val="center"/>
              <w:rPr>
                <w:rFonts w:hint="eastAsia" w:ascii="黑体" w:hAnsi="黑体" w:eastAsia="黑体" w:cs="黑体"/>
                <w:color w:val="auto"/>
                <w:szCs w:val="21"/>
                <w:highlight w:val="none"/>
              </w:rPr>
            </w:pPr>
          </w:p>
        </w:tc>
        <w:tc>
          <w:tcPr>
            <w:tcW w:w="486" w:type="pct"/>
            <w:noWrap w:val="0"/>
            <w:vAlign w:val="center"/>
          </w:tcPr>
          <w:p>
            <w:pPr>
              <w:spacing w:line="440" w:lineRule="exact"/>
              <w:jc w:val="center"/>
              <w:rPr>
                <w:rFonts w:hint="eastAsia" w:ascii="黑体" w:hAnsi="黑体" w:eastAsia="黑体" w:cs="黑体"/>
                <w:color w:val="auto"/>
                <w:szCs w:val="21"/>
                <w:highlight w:val="none"/>
              </w:rPr>
            </w:pPr>
          </w:p>
        </w:tc>
        <w:tc>
          <w:tcPr>
            <w:tcW w:w="594" w:type="pct"/>
            <w:noWrap w:val="0"/>
            <w:vAlign w:val="center"/>
          </w:tcPr>
          <w:p>
            <w:pPr>
              <w:spacing w:line="440" w:lineRule="exact"/>
              <w:jc w:val="center"/>
              <w:rPr>
                <w:rFonts w:hint="eastAsia" w:ascii="黑体" w:hAnsi="黑体" w:eastAsia="黑体" w:cs="黑体"/>
                <w:color w:val="auto"/>
                <w:szCs w:val="21"/>
                <w:highlight w:val="none"/>
              </w:rPr>
            </w:pPr>
          </w:p>
        </w:tc>
        <w:tc>
          <w:tcPr>
            <w:tcW w:w="195"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spacing w:line="440" w:lineRule="exact"/>
              <w:jc w:val="center"/>
              <w:rPr>
                <w:rFonts w:hint="eastAsia" w:ascii="黑体" w:hAnsi="黑体" w:eastAsia="黑体" w:cs="黑体"/>
                <w:color w:val="auto"/>
                <w:szCs w:val="21"/>
                <w:highlight w:val="none"/>
              </w:rPr>
            </w:pPr>
          </w:p>
        </w:tc>
        <w:tc>
          <w:tcPr>
            <w:tcW w:w="686" w:type="pct"/>
            <w:noWrap w:val="0"/>
            <w:vAlign w:val="center"/>
          </w:tcPr>
          <w:p>
            <w:pPr>
              <w:spacing w:line="440" w:lineRule="exact"/>
              <w:jc w:val="center"/>
              <w:rPr>
                <w:rFonts w:hint="eastAsia" w:ascii="黑体" w:hAnsi="黑体" w:eastAsia="黑体" w:cs="黑体"/>
                <w:color w:val="auto"/>
                <w:szCs w:val="21"/>
                <w:highlight w:val="none"/>
              </w:rPr>
            </w:pPr>
          </w:p>
        </w:tc>
        <w:tc>
          <w:tcPr>
            <w:tcW w:w="479" w:type="pct"/>
            <w:noWrap w:val="0"/>
            <w:vAlign w:val="center"/>
          </w:tcPr>
          <w:p>
            <w:pPr>
              <w:spacing w:line="440" w:lineRule="exact"/>
              <w:jc w:val="center"/>
              <w:rPr>
                <w:rFonts w:hint="eastAsia" w:ascii="黑体" w:hAnsi="黑体" w:eastAsia="黑体" w:cs="黑体"/>
                <w:color w:val="auto"/>
                <w:szCs w:val="21"/>
                <w:highlight w:val="none"/>
              </w:rPr>
            </w:pPr>
          </w:p>
        </w:tc>
        <w:tc>
          <w:tcPr>
            <w:tcW w:w="485" w:type="pct"/>
            <w:noWrap w:val="0"/>
            <w:vAlign w:val="center"/>
          </w:tcPr>
          <w:p>
            <w:pPr>
              <w:spacing w:line="440" w:lineRule="exact"/>
              <w:jc w:val="center"/>
              <w:rPr>
                <w:rFonts w:hint="eastAsia" w:ascii="黑体" w:hAnsi="黑体" w:eastAsia="黑体" w:cs="黑体"/>
                <w:color w:val="auto"/>
                <w:szCs w:val="21"/>
                <w:highlight w:val="none"/>
              </w:rPr>
            </w:pPr>
          </w:p>
        </w:tc>
        <w:tc>
          <w:tcPr>
            <w:tcW w:w="562" w:type="pct"/>
            <w:noWrap w:val="0"/>
            <w:vAlign w:val="center"/>
          </w:tcPr>
          <w:p>
            <w:pPr>
              <w:spacing w:line="440" w:lineRule="exact"/>
              <w:jc w:val="center"/>
              <w:rPr>
                <w:rFonts w:hint="eastAsia" w:ascii="黑体" w:hAnsi="黑体" w:eastAsia="黑体" w:cs="黑体"/>
                <w:color w:val="auto"/>
                <w:szCs w:val="21"/>
                <w:highlight w:val="none"/>
              </w:rPr>
            </w:pPr>
          </w:p>
        </w:tc>
        <w:tc>
          <w:tcPr>
            <w:tcW w:w="411" w:type="pct"/>
            <w:noWrap w:val="0"/>
            <w:vAlign w:val="center"/>
          </w:tcPr>
          <w:p>
            <w:pPr>
              <w:spacing w:line="440" w:lineRule="exact"/>
              <w:jc w:val="center"/>
              <w:rPr>
                <w:rFonts w:hint="eastAsia" w:ascii="黑体" w:hAnsi="黑体" w:eastAsia="黑体" w:cs="黑体"/>
                <w:color w:val="auto"/>
                <w:szCs w:val="21"/>
                <w:highlight w:val="none"/>
              </w:rPr>
            </w:pPr>
          </w:p>
        </w:tc>
        <w:tc>
          <w:tcPr>
            <w:tcW w:w="679" w:type="pct"/>
            <w:noWrap w:val="0"/>
            <w:vAlign w:val="center"/>
          </w:tcPr>
          <w:p>
            <w:pPr>
              <w:spacing w:line="440" w:lineRule="exact"/>
              <w:jc w:val="center"/>
              <w:rPr>
                <w:rFonts w:hint="eastAsia" w:ascii="黑体" w:hAnsi="黑体" w:eastAsia="黑体" w:cs="黑体"/>
                <w:color w:val="auto"/>
                <w:szCs w:val="21"/>
                <w:highlight w:val="none"/>
              </w:rPr>
            </w:pPr>
          </w:p>
        </w:tc>
        <w:tc>
          <w:tcPr>
            <w:tcW w:w="486" w:type="pct"/>
            <w:noWrap w:val="0"/>
            <w:vAlign w:val="center"/>
          </w:tcPr>
          <w:p>
            <w:pPr>
              <w:spacing w:line="440" w:lineRule="exact"/>
              <w:jc w:val="center"/>
              <w:rPr>
                <w:rFonts w:hint="eastAsia" w:ascii="黑体" w:hAnsi="黑体" w:eastAsia="黑体" w:cs="黑体"/>
                <w:color w:val="auto"/>
                <w:szCs w:val="21"/>
                <w:highlight w:val="none"/>
              </w:rPr>
            </w:pPr>
          </w:p>
        </w:tc>
        <w:tc>
          <w:tcPr>
            <w:tcW w:w="594" w:type="pct"/>
            <w:noWrap w:val="0"/>
            <w:vAlign w:val="center"/>
          </w:tcPr>
          <w:p>
            <w:pPr>
              <w:spacing w:line="440" w:lineRule="exact"/>
              <w:jc w:val="center"/>
              <w:rPr>
                <w:rFonts w:hint="eastAsia" w:ascii="黑体" w:hAnsi="黑体" w:eastAsia="黑体" w:cs="黑体"/>
                <w:color w:val="auto"/>
                <w:szCs w:val="21"/>
                <w:highlight w:val="none"/>
              </w:rPr>
            </w:pPr>
          </w:p>
        </w:tc>
        <w:tc>
          <w:tcPr>
            <w:tcW w:w="195"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noWrap w:val="0"/>
            <w:vAlign w:val="top"/>
          </w:tcPr>
          <w:p>
            <w:pPr>
              <w:spacing w:line="440" w:lineRule="exact"/>
              <w:jc w:val="center"/>
              <w:rPr>
                <w:rFonts w:hint="eastAsia" w:ascii="黑体" w:hAnsi="黑体" w:eastAsia="黑体" w:cs="黑体"/>
                <w:color w:val="auto"/>
                <w:szCs w:val="21"/>
                <w:highlight w:val="none"/>
              </w:rPr>
            </w:pPr>
          </w:p>
        </w:tc>
        <w:tc>
          <w:tcPr>
            <w:tcW w:w="686" w:type="pct"/>
            <w:noWrap w:val="0"/>
            <w:vAlign w:val="top"/>
          </w:tcPr>
          <w:p>
            <w:pPr>
              <w:spacing w:line="440" w:lineRule="exact"/>
              <w:jc w:val="center"/>
              <w:rPr>
                <w:rFonts w:hint="eastAsia" w:ascii="黑体" w:hAnsi="黑体" w:eastAsia="黑体" w:cs="黑体"/>
                <w:color w:val="auto"/>
                <w:szCs w:val="21"/>
                <w:highlight w:val="none"/>
              </w:rPr>
            </w:pPr>
          </w:p>
        </w:tc>
        <w:tc>
          <w:tcPr>
            <w:tcW w:w="479" w:type="pct"/>
            <w:noWrap w:val="0"/>
            <w:vAlign w:val="top"/>
          </w:tcPr>
          <w:p>
            <w:pPr>
              <w:spacing w:line="440" w:lineRule="exact"/>
              <w:jc w:val="center"/>
              <w:rPr>
                <w:rFonts w:hint="eastAsia" w:ascii="黑体" w:hAnsi="黑体" w:eastAsia="黑体" w:cs="黑体"/>
                <w:color w:val="auto"/>
                <w:szCs w:val="21"/>
                <w:highlight w:val="none"/>
              </w:rPr>
            </w:pPr>
          </w:p>
        </w:tc>
        <w:tc>
          <w:tcPr>
            <w:tcW w:w="485" w:type="pct"/>
            <w:noWrap w:val="0"/>
            <w:vAlign w:val="top"/>
          </w:tcPr>
          <w:p>
            <w:pPr>
              <w:spacing w:line="440" w:lineRule="exact"/>
              <w:jc w:val="center"/>
              <w:rPr>
                <w:rFonts w:hint="eastAsia" w:ascii="黑体" w:hAnsi="黑体" w:eastAsia="黑体" w:cs="黑体"/>
                <w:color w:val="auto"/>
                <w:szCs w:val="21"/>
                <w:highlight w:val="none"/>
              </w:rPr>
            </w:pPr>
          </w:p>
        </w:tc>
        <w:tc>
          <w:tcPr>
            <w:tcW w:w="562" w:type="pct"/>
            <w:noWrap w:val="0"/>
            <w:vAlign w:val="top"/>
          </w:tcPr>
          <w:p>
            <w:pPr>
              <w:spacing w:line="440" w:lineRule="exact"/>
              <w:jc w:val="center"/>
              <w:rPr>
                <w:rFonts w:hint="eastAsia" w:ascii="黑体" w:hAnsi="黑体" w:eastAsia="黑体" w:cs="黑体"/>
                <w:color w:val="auto"/>
                <w:szCs w:val="21"/>
                <w:highlight w:val="none"/>
              </w:rPr>
            </w:pPr>
          </w:p>
        </w:tc>
        <w:tc>
          <w:tcPr>
            <w:tcW w:w="411" w:type="pct"/>
            <w:noWrap w:val="0"/>
            <w:vAlign w:val="top"/>
          </w:tcPr>
          <w:p>
            <w:pPr>
              <w:spacing w:line="440" w:lineRule="exact"/>
              <w:jc w:val="center"/>
              <w:rPr>
                <w:rFonts w:hint="eastAsia" w:ascii="黑体" w:hAnsi="黑体" w:eastAsia="黑体" w:cs="黑体"/>
                <w:color w:val="auto"/>
                <w:szCs w:val="21"/>
                <w:highlight w:val="none"/>
              </w:rPr>
            </w:pPr>
          </w:p>
        </w:tc>
        <w:tc>
          <w:tcPr>
            <w:tcW w:w="679" w:type="pct"/>
            <w:noWrap w:val="0"/>
            <w:vAlign w:val="top"/>
          </w:tcPr>
          <w:p>
            <w:pPr>
              <w:spacing w:line="440" w:lineRule="exact"/>
              <w:jc w:val="center"/>
              <w:rPr>
                <w:rFonts w:hint="eastAsia" w:ascii="黑体" w:hAnsi="黑体" w:eastAsia="黑体" w:cs="黑体"/>
                <w:color w:val="auto"/>
                <w:szCs w:val="21"/>
                <w:highlight w:val="none"/>
              </w:rPr>
            </w:pPr>
          </w:p>
        </w:tc>
        <w:tc>
          <w:tcPr>
            <w:tcW w:w="486" w:type="pct"/>
            <w:noWrap w:val="0"/>
            <w:vAlign w:val="top"/>
          </w:tcPr>
          <w:p>
            <w:pPr>
              <w:spacing w:line="440" w:lineRule="exact"/>
              <w:jc w:val="center"/>
              <w:rPr>
                <w:rFonts w:hint="eastAsia" w:ascii="黑体" w:hAnsi="黑体" w:eastAsia="黑体" w:cs="黑体"/>
                <w:color w:val="auto"/>
                <w:szCs w:val="21"/>
                <w:highlight w:val="none"/>
              </w:rPr>
            </w:pPr>
          </w:p>
        </w:tc>
        <w:tc>
          <w:tcPr>
            <w:tcW w:w="594" w:type="pct"/>
            <w:noWrap w:val="0"/>
            <w:vAlign w:val="top"/>
          </w:tcPr>
          <w:p>
            <w:pPr>
              <w:spacing w:line="440" w:lineRule="exact"/>
              <w:jc w:val="center"/>
              <w:rPr>
                <w:rFonts w:hint="eastAsia" w:ascii="黑体" w:hAnsi="黑体" w:eastAsia="黑体" w:cs="黑体"/>
                <w:color w:val="auto"/>
                <w:szCs w:val="21"/>
                <w:highlight w:val="none"/>
              </w:rPr>
            </w:pPr>
          </w:p>
        </w:tc>
        <w:tc>
          <w:tcPr>
            <w:tcW w:w="195" w:type="pct"/>
            <w:noWrap w:val="0"/>
            <w:vAlign w:val="top"/>
          </w:tcPr>
          <w:p>
            <w:pPr>
              <w:spacing w:line="440" w:lineRule="exact"/>
              <w:jc w:val="center"/>
              <w:rPr>
                <w:rFonts w:hint="eastAsia" w:ascii="黑体" w:hAnsi="黑体" w:eastAsia="黑体" w:cs="黑体"/>
                <w:color w:val="auto"/>
                <w:szCs w:val="21"/>
                <w:highlight w:val="none"/>
              </w:rPr>
            </w:pPr>
          </w:p>
        </w:tc>
      </w:tr>
    </w:tbl>
    <w:p>
      <w:pPr>
        <w:pStyle w:val="79"/>
        <w:rPr>
          <w:rFonts w:hint="eastAsia" w:ascii="黑体" w:hAnsi="黑体" w:eastAsia="黑体" w:cs="黑体"/>
          <w:color w:val="auto"/>
          <w:highlight w:val="none"/>
        </w:rPr>
      </w:pPr>
      <w:bookmarkStart w:id="8" w:name="_Toc362253048"/>
      <w:bookmarkStart w:id="9" w:name="_Toc179632818"/>
      <w:bookmarkStart w:id="10" w:name="_Toc241459825"/>
      <w:bookmarkStart w:id="11" w:name="_Toc342296582"/>
      <w:bookmarkStart w:id="12" w:name="_Toc144974866"/>
      <w:bookmarkStart w:id="13" w:name="_Toc152042587"/>
      <w:bookmarkStart w:id="14" w:name="_Toc152045798"/>
      <w:r>
        <w:rPr>
          <w:rFonts w:hint="eastAsia" w:ascii="黑体" w:hAnsi="黑体" w:eastAsia="黑体" w:cs="黑体"/>
          <w:color w:val="auto"/>
          <w:highlight w:val="none"/>
        </w:rPr>
        <w:t>附表二：拟配备本分包工程的试验和检测仪器设备表</w:t>
      </w:r>
      <w:bookmarkEnd w:id="8"/>
      <w:bookmarkEnd w:id="9"/>
      <w:bookmarkEnd w:id="10"/>
      <w:bookmarkEnd w:id="11"/>
      <w:bookmarkEnd w:id="12"/>
      <w:bookmarkEnd w:id="13"/>
      <w:bookmarkEnd w:id="14"/>
    </w:p>
    <w:p>
      <w:pPr>
        <w:spacing w:line="440" w:lineRule="exact"/>
        <w:rPr>
          <w:rFonts w:hint="eastAsia" w:ascii="黑体" w:hAnsi="黑体" w:eastAsia="黑体" w:cs="黑体"/>
          <w:color w:val="auto"/>
          <w:sz w:val="20"/>
          <w:szCs w:val="20"/>
          <w:highlight w:val="none"/>
        </w:rPr>
      </w:pPr>
    </w:p>
    <w:tbl>
      <w:tblPr>
        <w:tblStyle w:val="36"/>
        <w:tblW w:w="4632"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61"/>
        <w:gridCol w:w="1007"/>
        <w:gridCol w:w="1313"/>
        <w:gridCol w:w="892"/>
        <w:gridCol w:w="980"/>
        <w:gridCol w:w="1609"/>
        <w:gridCol w:w="188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spacing w:line="440" w:lineRule="exact"/>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601"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仪器设备名    称</w:t>
            </w:r>
          </w:p>
        </w:tc>
        <w:tc>
          <w:tcPr>
            <w:tcW w:w="480"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型号</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规格</w:t>
            </w:r>
          </w:p>
        </w:tc>
        <w:tc>
          <w:tcPr>
            <w:tcW w:w="62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  量</w:t>
            </w:r>
          </w:p>
        </w:tc>
        <w:tc>
          <w:tcPr>
            <w:tcW w:w="42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国别</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产地</w:t>
            </w:r>
          </w:p>
        </w:tc>
        <w:tc>
          <w:tcPr>
            <w:tcW w:w="467"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制造</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年份</w:t>
            </w:r>
          </w:p>
        </w:tc>
        <w:tc>
          <w:tcPr>
            <w:tcW w:w="767"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已使用台时    数</w:t>
            </w:r>
          </w:p>
        </w:tc>
        <w:tc>
          <w:tcPr>
            <w:tcW w:w="897"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用  途</w:t>
            </w:r>
          </w:p>
        </w:tc>
        <w:tc>
          <w:tcPr>
            <w:tcW w:w="340"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noWrap w:val="0"/>
            <w:vAlign w:val="center"/>
          </w:tcPr>
          <w:p>
            <w:pPr>
              <w:spacing w:line="440" w:lineRule="exact"/>
              <w:jc w:val="center"/>
              <w:rPr>
                <w:rFonts w:hint="eastAsia" w:ascii="黑体" w:hAnsi="黑体" w:eastAsia="黑体" w:cs="黑体"/>
                <w:color w:val="auto"/>
                <w:szCs w:val="21"/>
                <w:highlight w:val="none"/>
              </w:rPr>
            </w:pPr>
          </w:p>
        </w:tc>
        <w:tc>
          <w:tcPr>
            <w:tcW w:w="601" w:type="pct"/>
            <w:noWrap w:val="0"/>
            <w:vAlign w:val="center"/>
          </w:tcPr>
          <w:p>
            <w:pPr>
              <w:spacing w:line="440" w:lineRule="exact"/>
              <w:jc w:val="center"/>
              <w:rPr>
                <w:rFonts w:hint="eastAsia" w:ascii="黑体" w:hAnsi="黑体" w:eastAsia="黑体" w:cs="黑体"/>
                <w:color w:val="auto"/>
                <w:szCs w:val="21"/>
                <w:highlight w:val="none"/>
              </w:rPr>
            </w:pPr>
          </w:p>
        </w:tc>
        <w:tc>
          <w:tcPr>
            <w:tcW w:w="480" w:type="pct"/>
            <w:noWrap w:val="0"/>
            <w:vAlign w:val="center"/>
          </w:tcPr>
          <w:p>
            <w:pPr>
              <w:spacing w:line="440" w:lineRule="exact"/>
              <w:jc w:val="center"/>
              <w:rPr>
                <w:rFonts w:hint="eastAsia" w:ascii="黑体" w:hAnsi="黑体" w:eastAsia="黑体" w:cs="黑体"/>
                <w:color w:val="auto"/>
                <w:szCs w:val="21"/>
                <w:highlight w:val="none"/>
              </w:rPr>
            </w:pPr>
          </w:p>
        </w:tc>
        <w:tc>
          <w:tcPr>
            <w:tcW w:w="626" w:type="pct"/>
            <w:noWrap w:val="0"/>
            <w:vAlign w:val="center"/>
          </w:tcPr>
          <w:p>
            <w:pPr>
              <w:spacing w:line="440" w:lineRule="exact"/>
              <w:jc w:val="center"/>
              <w:rPr>
                <w:rFonts w:hint="eastAsia" w:ascii="黑体" w:hAnsi="黑体" w:eastAsia="黑体" w:cs="黑体"/>
                <w:color w:val="auto"/>
                <w:szCs w:val="21"/>
                <w:highlight w:val="none"/>
              </w:rPr>
            </w:pPr>
          </w:p>
        </w:tc>
        <w:tc>
          <w:tcPr>
            <w:tcW w:w="425" w:type="pct"/>
            <w:noWrap w:val="0"/>
            <w:vAlign w:val="center"/>
          </w:tcPr>
          <w:p>
            <w:pPr>
              <w:spacing w:line="440" w:lineRule="exact"/>
              <w:jc w:val="center"/>
              <w:rPr>
                <w:rFonts w:hint="eastAsia" w:ascii="黑体" w:hAnsi="黑体" w:eastAsia="黑体" w:cs="黑体"/>
                <w:color w:val="auto"/>
                <w:szCs w:val="21"/>
                <w:highlight w:val="none"/>
              </w:rPr>
            </w:pPr>
          </w:p>
        </w:tc>
        <w:tc>
          <w:tcPr>
            <w:tcW w:w="467" w:type="pct"/>
            <w:noWrap w:val="0"/>
            <w:vAlign w:val="center"/>
          </w:tcPr>
          <w:p>
            <w:pPr>
              <w:spacing w:line="440" w:lineRule="exact"/>
              <w:jc w:val="center"/>
              <w:rPr>
                <w:rFonts w:hint="eastAsia" w:ascii="黑体" w:hAnsi="黑体" w:eastAsia="黑体" w:cs="黑体"/>
                <w:color w:val="auto"/>
                <w:szCs w:val="21"/>
                <w:highlight w:val="none"/>
              </w:rPr>
            </w:pPr>
          </w:p>
        </w:tc>
        <w:tc>
          <w:tcPr>
            <w:tcW w:w="767" w:type="pct"/>
            <w:noWrap w:val="0"/>
            <w:vAlign w:val="center"/>
          </w:tcPr>
          <w:p>
            <w:pPr>
              <w:spacing w:line="440" w:lineRule="exact"/>
              <w:jc w:val="center"/>
              <w:rPr>
                <w:rFonts w:hint="eastAsia" w:ascii="黑体" w:hAnsi="黑体" w:eastAsia="黑体" w:cs="黑体"/>
                <w:color w:val="auto"/>
                <w:szCs w:val="21"/>
                <w:highlight w:val="none"/>
              </w:rPr>
            </w:pPr>
          </w:p>
        </w:tc>
        <w:tc>
          <w:tcPr>
            <w:tcW w:w="897" w:type="pct"/>
            <w:noWrap w:val="0"/>
            <w:vAlign w:val="center"/>
          </w:tcPr>
          <w:p>
            <w:pPr>
              <w:spacing w:line="440" w:lineRule="exact"/>
              <w:jc w:val="center"/>
              <w:rPr>
                <w:rFonts w:hint="eastAsia" w:ascii="黑体" w:hAnsi="黑体" w:eastAsia="黑体" w:cs="黑体"/>
                <w:color w:val="auto"/>
                <w:szCs w:val="21"/>
                <w:highlight w:val="none"/>
              </w:rPr>
            </w:pPr>
          </w:p>
        </w:tc>
        <w:tc>
          <w:tcPr>
            <w:tcW w:w="340"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noWrap w:val="0"/>
            <w:vAlign w:val="center"/>
          </w:tcPr>
          <w:p>
            <w:pPr>
              <w:spacing w:line="440" w:lineRule="exact"/>
              <w:jc w:val="center"/>
              <w:rPr>
                <w:rFonts w:hint="eastAsia" w:ascii="黑体" w:hAnsi="黑体" w:eastAsia="黑体" w:cs="黑体"/>
                <w:color w:val="auto"/>
                <w:szCs w:val="21"/>
                <w:highlight w:val="none"/>
              </w:rPr>
            </w:pPr>
          </w:p>
        </w:tc>
        <w:tc>
          <w:tcPr>
            <w:tcW w:w="601" w:type="pct"/>
            <w:noWrap w:val="0"/>
            <w:vAlign w:val="center"/>
          </w:tcPr>
          <w:p>
            <w:pPr>
              <w:spacing w:line="440" w:lineRule="exact"/>
              <w:jc w:val="center"/>
              <w:rPr>
                <w:rFonts w:hint="eastAsia" w:ascii="黑体" w:hAnsi="黑体" w:eastAsia="黑体" w:cs="黑体"/>
                <w:color w:val="auto"/>
                <w:szCs w:val="21"/>
                <w:highlight w:val="none"/>
              </w:rPr>
            </w:pPr>
          </w:p>
        </w:tc>
        <w:tc>
          <w:tcPr>
            <w:tcW w:w="480" w:type="pct"/>
            <w:noWrap w:val="0"/>
            <w:vAlign w:val="center"/>
          </w:tcPr>
          <w:p>
            <w:pPr>
              <w:spacing w:line="440" w:lineRule="exact"/>
              <w:jc w:val="center"/>
              <w:rPr>
                <w:rFonts w:hint="eastAsia" w:ascii="黑体" w:hAnsi="黑体" w:eastAsia="黑体" w:cs="黑体"/>
                <w:color w:val="auto"/>
                <w:szCs w:val="21"/>
                <w:highlight w:val="none"/>
              </w:rPr>
            </w:pPr>
          </w:p>
        </w:tc>
        <w:tc>
          <w:tcPr>
            <w:tcW w:w="626" w:type="pct"/>
            <w:noWrap w:val="0"/>
            <w:vAlign w:val="center"/>
          </w:tcPr>
          <w:p>
            <w:pPr>
              <w:spacing w:line="440" w:lineRule="exact"/>
              <w:jc w:val="center"/>
              <w:rPr>
                <w:rFonts w:hint="eastAsia" w:ascii="黑体" w:hAnsi="黑体" w:eastAsia="黑体" w:cs="黑体"/>
                <w:color w:val="auto"/>
                <w:szCs w:val="21"/>
                <w:highlight w:val="none"/>
              </w:rPr>
            </w:pPr>
          </w:p>
        </w:tc>
        <w:tc>
          <w:tcPr>
            <w:tcW w:w="425" w:type="pct"/>
            <w:noWrap w:val="0"/>
            <w:vAlign w:val="center"/>
          </w:tcPr>
          <w:p>
            <w:pPr>
              <w:spacing w:line="440" w:lineRule="exact"/>
              <w:jc w:val="center"/>
              <w:rPr>
                <w:rFonts w:hint="eastAsia" w:ascii="黑体" w:hAnsi="黑体" w:eastAsia="黑体" w:cs="黑体"/>
                <w:color w:val="auto"/>
                <w:szCs w:val="21"/>
                <w:highlight w:val="none"/>
              </w:rPr>
            </w:pPr>
          </w:p>
        </w:tc>
        <w:tc>
          <w:tcPr>
            <w:tcW w:w="467" w:type="pct"/>
            <w:noWrap w:val="0"/>
            <w:vAlign w:val="center"/>
          </w:tcPr>
          <w:p>
            <w:pPr>
              <w:spacing w:line="440" w:lineRule="exact"/>
              <w:jc w:val="center"/>
              <w:rPr>
                <w:rFonts w:hint="eastAsia" w:ascii="黑体" w:hAnsi="黑体" w:eastAsia="黑体" w:cs="黑体"/>
                <w:color w:val="auto"/>
                <w:szCs w:val="21"/>
                <w:highlight w:val="none"/>
              </w:rPr>
            </w:pPr>
          </w:p>
        </w:tc>
        <w:tc>
          <w:tcPr>
            <w:tcW w:w="767" w:type="pct"/>
            <w:noWrap w:val="0"/>
            <w:vAlign w:val="center"/>
          </w:tcPr>
          <w:p>
            <w:pPr>
              <w:spacing w:line="440" w:lineRule="exact"/>
              <w:jc w:val="center"/>
              <w:rPr>
                <w:rFonts w:hint="eastAsia" w:ascii="黑体" w:hAnsi="黑体" w:eastAsia="黑体" w:cs="黑体"/>
                <w:color w:val="auto"/>
                <w:szCs w:val="21"/>
                <w:highlight w:val="none"/>
              </w:rPr>
            </w:pPr>
          </w:p>
        </w:tc>
        <w:tc>
          <w:tcPr>
            <w:tcW w:w="897" w:type="pct"/>
            <w:noWrap w:val="0"/>
            <w:vAlign w:val="center"/>
          </w:tcPr>
          <w:p>
            <w:pPr>
              <w:spacing w:line="440" w:lineRule="exact"/>
              <w:jc w:val="center"/>
              <w:rPr>
                <w:rFonts w:hint="eastAsia" w:ascii="黑体" w:hAnsi="黑体" w:eastAsia="黑体" w:cs="黑体"/>
                <w:color w:val="auto"/>
                <w:szCs w:val="21"/>
                <w:highlight w:val="none"/>
              </w:rPr>
            </w:pPr>
          </w:p>
        </w:tc>
        <w:tc>
          <w:tcPr>
            <w:tcW w:w="340"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noWrap w:val="0"/>
            <w:vAlign w:val="top"/>
          </w:tcPr>
          <w:p>
            <w:pPr>
              <w:spacing w:line="440" w:lineRule="exact"/>
              <w:jc w:val="center"/>
              <w:rPr>
                <w:rFonts w:hint="eastAsia" w:ascii="黑体" w:hAnsi="黑体" w:eastAsia="黑体" w:cs="黑体"/>
                <w:color w:val="auto"/>
                <w:szCs w:val="21"/>
                <w:highlight w:val="none"/>
              </w:rPr>
            </w:pPr>
          </w:p>
        </w:tc>
        <w:tc>
          <w:tcPr>
            <w:tcW w:w="601" w:type="pct"/>
            <w:noWrap w:val="0"/>
            <w:vAlign w:val="top"/>
          </w:tcPr>
          <w:p>
            <w:pPr>
              <w:spacing w:line="440" w:lineRule="exact"/>
              <w:jc w:val="center"/>
              <w:rPr>
                <w:rFonts w:hint="eastAsia" w:ascii="黑体" w:hAnsi="黑体" w:eastAsia="黑体" w:cs="黑体"/>
                <w:color w:val="auto"/>
                <w:szCs w:val="21"/>
                <w:highlight w:val="none"/>
              </w:rPr>
            </w:pPr>
          </w:p>
        </w:tc>
        <w:tc>
          <w:tcPr>
            <w:tcW w:w="480" w:type="pct"/>
            <w:noWrap w:val="0"/>
            <w:vAlign w:val="top"/>
          </w:tcPr>
          <w:p>
            <w:pPr>
              <w:spacing w:line="440" w:lineRule="exact"/>
              <w:jc w:val="center"/>
              <w:rPr>
                <w:rFonts w:hint="eastAsia" w:ascii="黑体" w:hAnsi="黑体" w:eastAsia="黑体" w:cs="黑体"/>
                <w:color w:val="auto"/>
                <w:szCs w:val="21"/>
                <w:highlight w:val="none"/>
              </w:rPr>
            </w:pPr>
          </w:p>
        </w:tc>
        <w:tc>
          <w:tcPr>
            <w:tcW w:w="626" w:type="pct"/>
            <w:noWrap w:val="0"/>
            <w:vAlign w:val="top"/>
          </w:tcPr>
          <w:p>
            <w:pPr>
              <w:spacing w:line="440" w:lineRule="exact"/>
              <w:jc w:val="center"/>
              <w:rPr>
                <w:rFonts w:hint="eastAsia" w:ascii="黑体" w:hAnsi="黑体" w:eastAsia="黑体" w:cs="黑体"/>
                <w:color w:val="auto"/>
                <w:szCs w:val="21"/>
                <w:highlight w:val="none"/>
              </w:rPr>
            </w:pPr>
          </w:p>
        </w:tc>
        <w:tc>
          <w:tcPr>
            <w:tcW w:w="425" w:type="pct"/>
            <w:noWrap w:val="0"/>
            <w:vAlign w:val="top"/>
          </w:tcPr>
          <w:p>
            <w:pPr>
              <w:spacing w:line="440" w:lineRule="exact"/>
              <w:jc w:val="center"/>
              <w:rPr>
                <w:rFonts w:hint="eastAsia" w:ascii="黑体" w:hAnsi="黑体" w:eastAsia="黑体" w:cs="黑体"/>
                <w:color w:val="auto"/>
                <w:szCs w:val="21"/>
                <w:highlight w:val="none"/>
              </w:rPr>
            </w:pPr>
          </w:p>
        </w:tc>
        <w:tc>
          <w:tcPr>
            <w:tcW w:w="467" w:type="pct"/>
            <w:noWrap w:val="0"/>
            <w:vAlign w:val="top"/>
          </w:tcPr>
          <w:p>
            <w:pPr>
              <w:spacing w:line="440" w:lineRule="exact"/>
              <w:jc w:val="center"/>
              <w:rPr>
                <w:rFonts w:hint="eastAsia" w:ascii="黑体" w:hAnsi="黑体" w:eastAsia="黑体" w:cs="黑体"/>
                <w:color w:val="auto"/>
                <w:szCs w:val="21"/>
                <w:highlight w:val="none"/>
              </w:rPr>
            </w:pPr>
          </w:p>
        </w:tc>
        <w:tc>
          <w:tcPr>
            <w:tcW w:w="767" w:type="pct"/>
            <w:noWrap w:val="0"/>
            <w:vAlign w:val="top"/>
          </w:tcPr>
          <w:p>
            <w:pPr>
              <w:spacing w:line="440" w:lineRule="exact"/>
              <w:jc w:val="center"/>
              <w:rPr>
                <w:rFonts w:hint="eastAsia" w:ascii="黑体" w:hAnsi="黑体" w:eastAsia="黑体" w:cs="黑体"/>
                <w:color w:val="auto"/>
                <w:szCs w:val="21"/>
                <w:highlight w:val="none"/>
              </w:rPr>
            </w:pPr>
          </w:p>
        </w:tc>
        <w:tc>
          <w:tcPr>
            <w:tcW w:w="897" w:type="pct"/>
            <w:noWrap w:val="0"/>
            <w:vAlign w:val="top"/>
          </w:tcPr>
          <w:p>
            <w:pPr>
              <w:spacing w:line="440" w:lineRule="exact"/>
              <w:jc w:val="center"/>
              <w:rPr>
                <w:rFonts w:hint="eastAsia" w:ascii="黑体" w:hAnsi="黑体" w:eastAsia="黑体" w:cs="黑体"/>
                <w:color w:val="auto"/>
                <w:szCs w:val="21"/>
                <w:highlight w:val="none"/>
              </w:rPr>
            </w:pPr>
          </w:p>
        </w:tc>
        <w:tc>
          <w:tcPr>
            <w:tcW w:w="340" w:type="pct"/>
            <w:noWrap w:val="0"/>
            <w:vAlign w:val="top"/>
          </w:tcPr>
          <w:p>
            <w:pPr>
              <w:spacing w:line="440" w:lineRule="exact"/>
              <w:jc w:val="center"/>
              <w:rPr>
                <w:rFonts w:hint="eastAsia" w:ascii="黑体" w:hAnsi="黑体" w:eastAsia="黑体" w:cs="黑体"/>
                <w:color w:val="auto"/>
                <w:szCs w:val="21"/>
                <w:highlight w:val="none"/>
              </w:rPr>
            </w:pPr>
          </w:p>
        </w:tc>
      </w:tr>
    </w:tbl>
    <w:p>
      <w:pPr>
        <w:spacing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0"/>
          <w:szCs w:val="20"/>
          <w:highlight w:val="none"/>
        </w:rPr>
        <w:br w:type="page"/>
      </w:r>
      <w:bookmarkStart w:id="15" w:name="_Toc342296583"/>
      <w:bookmarkStart w:id="16" w:name="_Toc362253049"/>
      <w:bookmarkStart w:id="17" w:name="_Toc241459826"/>
      <w:bookmarkStart w:id="18" w:name="_Toc144974867"/>
      <w:bookmarkStart w:id="19" w:name="_Toc179632819"/>
      <w:bookmarkStart w:id="20" w:name="_Toc152042588"/>
      <w:bookmarkStart w:id="21" w:name="_Toc152045799"/>
      <w:r>
        <w:rPr>
          <w:rFonts w:hint="eastAsia" w:ascii="黑体" w:hAnsi="黑体" w:eastAsia="黑体" w:cs="黑体"/>
          <w:color w:val="auto"/>
          <w:sz w:val="24"/>
          <w:szCs w:val="24"/>
          <w:highlight w:val="none"/>
        </w:rPr>
        <w:t>附表三：劳动力计划表</w:t>
      </w:r>
      <w:bookmarkEnd w:id="15"/>
      <w:bookmarkEnd w:id="16"/>
      <w:bookmarkEnd w:id="17"/>
      <w:bookmarkEnd w:id="18"/>
      <w:bookmarkEnd w:id="19"/>
      <w:bookmarkEnd w:id="20"/>
      <w:bookmarkEnd w:id="21"/>
    </w:p>
    <w:p>
      <w:pPr>
        <w:spacing w:line="440" w:lineRule="exact"/>
        <w:ind w:right="800" w:rightChars="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单位：人</w:t>
      </w:r>
    </w:p>
    <w:tbl>
      <w:tblPr>
        <w:tblStyle w:val="36"/>
        <w:tblW w:w="4473" w:type="pct"/>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16"/>
        <w:gridCol w:w="1124"/>
        <w:gridCol w:w="1689"/>
        <w:gridCol w:w="1407"/>
        <w:gridCol w:w="1407"/>
        <w:gridCol w:w="1409"/>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noWrap w:val="0"/>
            <w:vAlign w:val="center"/>
          </w:tcPr>
          <w:p>
            <w:pPr>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工种</w:t>
            </w:r>
          </w:p>
        </w:tc>
        <w:tc>
          <w:tcPr>
            <w:tcW w:w="4384" w:type="pct"/>
            <w:gridSpan w:val="7"/>
            <w:noWrap w:val="0"/>
            <w:vAlign w:val="center"/>
          </w:tcPr>
          <w:p>
            <w:pPr>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noWrap w:val="0"/>
            <w:vAlign w:val="center"/>
          </w:tcPr>
          <w:p>
            <w:pPr>
              <w:spacing w:line="440" w:lineRule="exact"/>
              <w:jc w:val="center"/>
              <w:rPr>
                <w:rFonts w:hint="eastAsia" w:ascii="黑体" w:hAnsi="黑体" w:eastAsia="黑体" w:cs="黑体"/>
                <w:color w:val="auto"/>
                <w:sz w:val="24"/>
                <w:szCs w:val="24"/>
                <w:highlight w:val="none"/>
              </w:rPr>
            </w:pPr>
          </w:p>
        </w:tc>
        <w:tc>
          <w:tcPr>
            <w:tcW w:w="551" w:type="pct"/>
            <w:noWrap w:val="0"/>
            <w:vAlign w:val="center"/>
          </w:tcPr>
          <w:p>
            <w:pPr>
              <w:spacing w:line="440" w:lineRule="exact"/>
              <w:jc w:val="center"/>
              <w:rPr>
                <w:rFonts w:hint="eastAsia" w:ascii="黑体" w:hAnsi="黑体" w:eastAsia="黑体" w:cs="黑体"/>
                <w:color w:val="auto"/>
                <w:sz w:val="24"/>
                <w:szCs w:val="24"/>
                <w:highlight w:val="none"/>
              </w:rPr>
            </w:pPr>
          </w:p>
        </w:tc>
        <w:tc>
          <w:tcPr>
            <w:tcW w:w="555" w:type="pct"/>
            <w:noWrap w:val="0"/>
            <w:vAlign w:val="center"/>
          </w:tcPr>
          <w:p>
            <w:pPr>
              <w:spacing w:line="440" w:lineRule="exact"/>
              <w:jc w:val="center"/>
              <w:rPr>
                <w:rFonts w:hint="eastAsia" w:ascii="黑体" w:hAnsi="黑体" w:eastAsia="黑体" w:cs="黑体"/>
                <w:color w:val="auto"/>
                <w:sz w:val="24"/>
                <w:szCs w:val="24"/>
                <w:highlight w:val="none"/>
              </w:rPr>
            </w:pPr>
          </w:p>
        </w:tc>
        <w:tc>
          <w:tcPr>
            <w:tcW w:w="834"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5"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5"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6" w:type="pct"/>
            <w:noWrap w:val="0"/>
            <w:vAlign w:val="center"/>
          </w:tcPr>
          <w:p>
            <w:pPr>
              <w:spacing w:line="440" w:lineRule="exact"/>
              <w:jc w:val="center"/>
              <w:rPr>
                <w:rFonts w:hint="eastAsia" w:ascii="黑体" w:hAnsi="黑体" w:eastAsia="黑体" w:cs="黑体"/>
                <w:color w:val="auto"/>
                <w:sz w:val="24"/>
                <w:szCs w:val="24"/>
                <w:highlight w:val="none"/>
              </w:rPr>
            </w:pPr>
          </w:p>
        </w:tc>
        <w:tc>
          <w:tcPr>
            <w:tcW w:w="356" w:type="pct"/>
            <w:noWrap w:val="0"/>
            <w:vAlign w:val="center"/>
          </w:tcPr>
          <w:p>
            <w:pPr>
              <w:spacing w:line="440" w:lineRule="exact"/>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noWrap w:val="0"/>
            <w:vAlign w:val="center"/>
          </w:tcPr>
          <w:p>
            <w:pPr>
              <w:spacing w:line="440" w:lineRule="exact"/>
              <w:jc w:val="center"/>
              <w:rPr>
                <w:rFonts w:hint="eastAsia" w:ascii="黑体" w:hAnsi="黑体" w:eastAsia="黑体" w:cs="黑体"/>
                <w:color w:val="auto"/>
                <w:sz w:val="24"/>
                <w:szCs w:val="24"/>
                <w:highlight w:val="none"/>
              </w:rPr>
            </w:pPr>
          </w:p>
        </w:tc>
        <w:tc>
          <w:tcPr>
            <w:tcW w:w="551" w:type="pct"/>
            <w:noWrap w:val="0"/>
            <w:vAlign w:val="center"/>
          </w:tcPr>
          <w:p>
            <w:pPr>
              <w:spacing w:line="440" w:lineRule="exact"/>
              <w:jc w:val="center"/>
              <w:rPr>
                <w:rFonts w:hint="eastAsia" w:ascii="黑体" w:hAnsi="黑体" w:eastAsia="黑体" w:cs="黑体"/>
                <w:color w:val="auto"/>
                <w:sz w:val="24"/>
                <w:szCs w:val="24"/>
                <w:highlight w:val="none"/>
              </w:rPr>
            </w:pPr>
          </w:p>
        </w:tc>
        <w:tc>
          <w:tcPr>
            <w:tcW w:w="555" w:type="pct"/>
            <w:noWrap w:val="0"/>
            <w:vAlign w:val="center"/>
          </w:tcPr>
          <w:p>
            <w:pPr>
              <w:spacing w:line="440" w:lineRule="exact"/>
              <w:jc w:val="center"/>
              <w:rPr>
                <w:rFonts w:hint="eastAsia" w:ascii="黑体" w:hAnsi="黑体" w:eastAsia="黑体" w:cs="黑体"/>
                <w:color w:val="auto"/>
                <w:sz w:val="24"/>
                <w:szCs w:val="24"/>
                <w:highlight w:val="none"/>
              </w:rPr>
            </w:pPr>
          </w:p>
        </w:tc>
        <w:tc>
          <w:tcPr>
            <w:tcW w:w="834"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5"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5" w:type="pct"/>
            <w:noWrap w:val="0"/>
            <w:vAlign w:val="center"/>
          </w:tcPr>
          <w:p>
            <w:pPr>
              <w:spacing w:line="440" w:lineRule="exact"/>
              <w:jc w:val="center"/>
              <w:rPr>
                <w:rFonts w:hint="eastAsia" w:ascii="黑体" w:hAnsi="黑体" w:eastAsia="黑体" w:cs="黑体"/>
                <w:color w:val="auto"/>
                <w:sz w:val="24"/>
                <w:szCs w:val="24"/>
                <w:highlight w:val="none"/>
              </w:rPr>
            </w:pPr>
          </w:p>
        </w:tc>
        <w:tc>
          <w:tcPr>
            <w:tcW w:w="696" w:type="pct"/>
            <w:noWrap w:val="0"/>
            <w:vAlign w:val="center"/>
          </w:tcPr>
          <w:p>
            <w:pPr>
              <w:spacing w:line="440" w:lineRule="exact"/>
              <w:jc w:val="center"/>
              <w:rPr>
                <w:rFonts w:hint="eastAsia" w:ascii="黑体" w:hAnsi="黑体" w:eastAsia="黑体" w:cs="黑体"/>
                <w:color w:val="auto"/>
                <w:sz w:val="24"/>
                <w:szCs w:val="24"/>
                <w:highlight w:val="none"/>
              </w:rPr>
            </w:pPr>
          </w:p>
        </w:tc>
        <w:tc>
          <w:tcPr>
            <w:tcW w:w="356" w:type="pct"/>
            <w:noWrap w:val="0"/>
            <w:vAlign w:val="center"/>
          </w:tcPr>
          <w:p>
            <w:pPr>
              <w:spacing w:line="440" w:lineRule="exact"/>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noWrap w:val="0"/>
            <w:vAlign w:val="top"/>
          </w:tcPr>
          <w:p>
            <w:pPr>
              <w:spacing w:line="440" w:lineRule="exact"/>
              <w:jc w:val="center"/>
              <w:rPr>
                <w:rFonts w:hint="eastAsia" w:ascii="黑体" w:hAnsi="黑体" w:eastAsia="黑体" w:cs="黑体"/>
                <w:color w:val="auto"/>
                <w:sz w:val="24"/>
                <w:szCs w:val="24"/>
                <w:highlight w:val="none"/>
              </w:rPr>
            </w:pPr>
          </w:p>
        </w:tc>
        <w:tc>
          <w:tcPr>
            <w:tcW w:w="551" w:type="pct"/>
            <w:noWrap w:val="0"/>
            <w:vAlign w:val="top"/>
          </w:tcPr>
          <w:p>
            <w:pPr>
              <w:spacing w:line="440" w:lineRule="exact"/>
              <w:jc w:val="center"/>
              <w:rPr>
                <w:rFonts w:hint="eastAsia" w:ascii="黑体" w:hAnsi="黑体" w:eastAsia="黑体" w:cs="黑体"/>
                <w:color w:val="auto"/>
                <w:sz w:val="24"/>
                <w:szCs w:val="24"/>
                <w:highlight w:val="none"/>
              </w:rPr>
            </w:pPr>
          </w:p>
        </w:tc>
        <w:tc>
          <w:tcPr>
            <w:tcW w:w="555" w:type="pct"/>
            <w:noWrap w:val="0"/>
            <w:vAlign w:val="top"/>
          </w:tcPr>
          <w:p>
            <w:pPr>
              <w:spacing w:line="440" w:lineRule="exact"/>
              <w:jc w:val="center"/>
              <w:rPr>
                <w:rFonts w:hint="eastAsia" w:ascii="黑体" w:hAnsi="黑体" w:eastAsia="黑体" w:cs="黑体"/>
                <w:color w:val="auto"/>
                <w:sz w:val="24"/>
                <w:szCs w:val="24"/>
                <w:highlight w:val="none"/>
              </w:rPr>
            </w:pPr>
          </w:p>
        </w:tc>
        <w:tc>
          <w:tcPr>
            <w:tcW w:w="834" w:type="pct"/>
            <w:noWrap w:val="0"/>
            <w:vAlign w:val="top"/>
          </w:tcPr>
          <w:p>
            <w:pPr>
              <w:spacing w:line="440" w:lineRule="exact"/>
              <w:jc w:val="center"/>
              <w:rPr>
                <w:rFonts w:hint="eastAsia" w:ascii="黑体" w:hAnsi="黑体" w:eastAsia="黑体" w:cs="黑体"/>
                <w:color w:val="auto"/>
                <w:sz w:val="24"/>
                <w:szCs w:val="24"/>
                <w:highlight w:val="none"/>
              </w:rPr>
            </w:pPr>
          </w:p>
        </w:tc>
        <w:tc>
          <w:tcPr>
            <w:tcW w:w="695" w:type="pct"/>
            <w:noWrap w:val="0"/>
            <w:vAlign w:val="top"/>
          </w:tcPr>
          <w:p>
            <w:pPr>
              <w:spacing w:line="440" w:lineRule="exact"/>
              <w:jc w:val="center"/>
              <w:rPr>
                <w:rFonts w:hint="eastAsia" w:ascii="黑体" w:hAnsi="黑体" w:eastAsia="黑体" w:cs="黑体"/>
                <w:color w:val="auto"/>
                <w:sz w:val="24"/>
                <w:szCs w:val="24"/>
                <w:highlight w:val="none"/>
              </w:rPr>
            </w:pPr>
          </w:p>
        </w:tc>
        <w:tc>
          <w:tcPr>
            <w:tcW w:w="695" w:type="pct"/>
            <w:noWrap w:val="0"/>
            <w:vAlign w:val="top"/>
          </w:tcPr>
          <w:p>
            <w:pPr>
              <w:spacing w:line="440" w:lineRule="exact"/>
              <w:jc w:val="center"/>
              <w:rPr>
                <w:rFonts w:hint="eastAsia" w:ascii="黑体" w:hAnsi="黑体" w:eastAsia="黑体" w:cs="黑体"/>
                <w:color w:val="auto"/>
                <w:sz w:val="24"/>
                <w:szCs w:val="24"/>
                <w:highlight w:val="none"/>
              </w:rPr>
            </w:pPr>
          </w:p>
        </w:tc>
        <w:tc>
          <w:tcPr>
            <w:tcW w:w="696" w:type="pct"/>
            <w:noWrap w:val="0"/>
            <w:vAlign w:val="top"/>
          </w:tcPr>
          <w:p>
            <w:pPr>
              <w:spacing w:line="440" w:lineRule="exact"/>
              <w:jc w:val="center"/>
              <w:rPr>
                <w:rFonts w:hint="eastAsia" w:ascii="黑体" w:hAnsi="黑体" w:eastAsia="黑体" w:cs="黑体"/>
                <w:color w:val="auto"/>
                <w:sz w:val="24"/>
                <w:szCs w:val="24"/>
                <w:highlight w:val="none"/>
              </w:rPr>
            </w:pPr>
          </w:p>
        </w:tc>
        <w:tc>
          <w:tcPr>
            <w:tcW w:w="356" w:type="pct"/>
            <w:noWrap w:val="0"/>
            <w:vAlign w:val="top"/>
          </w:tcPr>
          <w:p>
            <w:pPr>
              <w:spacing w:line="440" w:lineRule="exact"/>
              <w:jc w:val="center"/>
              <w:rPr>
                <w:rFonts w:hint="eastAsia" w:ascii="黑体" w:hAnsi="黑体" w:eastAsia="黑体" w:cs="黑体"/>
                <w:color w:val="auto"/>
                <w:sz w:val="24"/>
                <w:szCs w:val="24"/>
                <w:highlight w:val="none"/>
              </w:rPr>
            </w:pPr>
          </w:p>
        </w:tc>
      </w:tr>
    </w:tbl>
    <w:p>
      <w:pPr>
        <w:topLinePunct/>
        <w:spacing w:line="440" w:lineRule="exact"/>
        <w:jc w:val="center"/>
        <w:rPr>
          <w:rFonts w:hint="eastAsia" w:ascii="黑体" w:hAnsi="黑体" w:eastAsia="黑体" w:cs="黑体"/>
          <w:color w:val="auto"/>
          <w:sz w:val="24"/>
          <w:szCs w:val="24"/>
          <w:highlight w:val="none"/>
        </w:rPr>
      </w:pPr>
    </w:p>
    <w:p>
      <w:pPr>
        <w:pStyle w:val="79"/>
        <w:rPr>
          <w:rFonts w:hint="eastAsia" w:ascii="黑体" w:hAnsi="黑体" w:eastAsia="黑体" w:cs="黑体"/>
          <w:color w:val="auto"/>
          <w:sz w:val="24"/>
          <w:szCs w:val="24"/>
          <w:highlight w:val="none"/>
        </w:rPr>
      </w:pPr>
      <w:bookmarkStart w:id="22" w:name="_Toc152045800"/>
      <w:bookmarkStart w:id="23" w:name="_Toc179632820"/>
      <w:bookmarkStart w:id="24" w:name="_Toc144974868"/>
      <w:bookmarkStart w:id="25" w:name="_Toc342296584"/>
      <w:bookmarkStart w:id="26" w:name="_Toc241459827"/>
      <w:bookmarkStart w:id="27" w:name="_Toc152042589"/>
      <w:bookmarkStart w:id="28" w:name="_Toc362253050"/>
      <w:r>
        <w:rPr>
          <w:rFonts w:hint="eastAsia" w:ascii="黑体" w:hAnsi="黑体" w:eastAsia="黑体" w:cs="黑体"/>
          <w:color w:val="auto"/>
          <w:sz w:val="24"/>
          <w:szCs w:val="24"/>
          <w:highlight w:val="none"/>
        </w:rPr>
        <w:t>附表四：计划开、完工日期和施工进度网络图</w:t>
      </w:r>
      <w:bookmarkEnd w:id="22"/>
      <w:bookmarkEnd w:id="23"/>
      <w:bookmarkEnd w:id="24"/>
      <w:bookmarkEnd w:id="25"/>
      <w:bookmarkEnd w:id="26"/>
      <w:bookmarkEnd w:id="27"/>
      <w:bookmarkEnd w:id="28"/>
    </w:p>
    <w:p>
      <w:pPr>
        <w:spacing w:line="400" w:lineRule="exact"/>
        <w:rPr>
          <w:rFonts w:hint="eastAsia" w:ascii="黑体" w:hAnsi="黑体" w:eastAsia="黑体" w:cs="黑体"/>
          <w:color w:val="auto"/>
          <w:sz w:val="24"/>
          <w:szCs w:val="24"/>
          <w:highlight w:val="none"/>
        </w:rPr>
      </w:pPr>
    </w:p>
    <w:p>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 投标人应递交施工进度网络图或施工进度表，说明按招标文件要求的计划工期进行施工的各个关键日期。</w:t>
      </w:r>
    </w:p>
    <w:p>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 施工进度表可采用网络图和（或）横道图表示。</w:t>
      </w:r>
    </w:p>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pPr>
        <w:pStyle w:val="2"/>
        <w:rPr>
          <w:rFonts w:hint="eastAsia" w:ascii="黑体" w:hAnsi="黑体" w:eastAsia="黑体" w:cs="黑体"/>
          <w:color w:val="auto"/>
          <w:highlight w:val="none"/>
        </w:rPr>
      </w:pPr>
    </w:p>
    <w:p>
      <w:pPr>
        <w:pStyle w:val="78"/>
        <w:keepNext/>
        <w:keepLines/>
        <w:pageBreakBefore w:val="0"/>
        <w:widowControl/>
        <w:kinsoku/>
        <w:wordWrap/>
        <w:overflowPunct/>
        <w:topLinePunct w:val="0"/>
        <w:autoSpaceDE/>
        <w:autoSpaceDN/>
        <w:bidi w:val="0"/>
        <w:adjustRightInd/>
        <w:snapToGrid/>
        <w:spacing w:before="287" w:beforeLines="100" w:after="287" w:afterLines="100"/>
        <w:jc w:val="center"/>
        <w:textAlignment w:val="auto"/>
        <w:outlineLvl w:val="0"/>
        <w:rPr>
          <w:rFonts w:hint="eastAsia" w:ascii="黑体" w:hAnsi="黑体" w:eastAsia="黑体" w:cs="黑体"/>
          <w:b/>
          <w:bCs w:val="0"/>
          <w:color w:val="auto"/>
          <w:szCs w:val="28"/>
          <w:highlight w:val="none"/>
        </w:rPr>
      </w:pPr>
      <w:r>
        <w:rPr>
          <w:rFonts w:hint="eastAsia" w:ascii="黑体" w:hAnsi="黑体" w:eastAsia="黑体" w:cs="黑体"/>
          <w:b/>
          <w:bCs w:val="0"/>
          <w:color w:val="auto"/>
          <w:sz w:val="30"/>
          <w:szCs w:val="30"/>
          <w:highlight w:val="none"/>
          <w:lang w:eastAsia="zh-CN"/>
        </w:rPr>
        <w:t>二、</w:t>
      </w:r>
      <w:r>
        <w:rPr>
          <w:rFonts w:hint="eastAsia" w:ascii="黑体" w:hAnsi="黑体" w:eastAsia="黑体" w:cs="黑体"/>
          <w:b/>
          <w:bCs w:val="0"/>
          <w:color w:val="auto"/>
          <w:sz w:val="30"/>
          <w:szCs w:val="30"/>
          <w:highlight w:val="none"/>
        </w:rPr>
        <w:t>项目组织机构拟配备人员情况表</w:t>
      </w:r>
      <w:r>
        <w:rPr>
          <w:rFonts w:hint="eastAsia" w:ascii="黑体" w:hAnsi="黑体" w:eastAsia="黑体" w:cs="黑体"/>
          <w:b/>
          <w:bCs w:val="0"/>
          <w:color w:val="auto"/>
          <w:szCs w:val="28"/>
          <w:highlight w:val="none"/>
        </w:rPr>
        <w:t>项目管理机构</w:t>
      </w:r>
    </w:p>
    <w:p>
      <w:pPr>
        <w:pStyle w:val="5"/>
        <w:rPr>
          <w:rFonts w:hint="eastAsia" w:ascii="黑体" w:hAnsi="黑体" w:eastAsia="黑体" w:cs="黑体"/>
          <w:b w:val="0"/>
          <w:color w:val="auto"/>
          <w:kern w:val="2"/>
          <w:sz w:val="24"/>
          <w:szCs w:val="24"/>
          <w:highlight w:val="none"/>
          <w:lang w:val="en-US" w:eastAsia="zh-CN" w:bidi="ar-SA"/>
        </w:rPr>
      </w:pPr>
      <w:bookmarkStart w:id="29" w:name="_Toc152045804"/>
      <w:bookmarkStart w:id="30" w:name="_Toc144974872"/>
      <w:bookmarkStart w:id="31" w:name="_Toc179632824"/>
      <w:bookmarkStart w:id="32" w:name="_Toc362253056"/>
      <w:bookmarkStart w:id="33" w:name="_Toc241459832"/>
      <w:bookmarkStart w:id="34" w:name="_Toc342296589"/>
      <w:bookmarkStart w:id="35" w:name="_Toc152042593"/>
      <w:r>
        <w:rPr>
          <w:rFonts w:hint="eastAsia" w:ascii="黑体" w:hAnsi="黑体" w:eastAsia="黑体" w:cs="黑体"/>
          <w:b w:val="0"/>
          <w:color w:val="auto"/>
          <w:kern w:val="2"/>
          <w:sz w:val="24"/>
          <w:szCs w:val="24"/>
          <w:highlight w:val="none"/>
          <w:lang w:val="en-US" w:eastAsia="zh-CN" w:bidi="ar-SA"/>
        </w:rPr>
        <w:t>（一）项目管理机构组成表</w:t>
      </w:r>
      <w:bookmarkEnd w:id="29"/>
      <w:bookmarkEnd w:id="30"/>
      <w:bookmarkEnd w:id="31"/>
      <w:bookmarkEnd w:id="32"/>
      <w:bookmarkEnd w:id="33"/>
      <w:bookmarkEnd w:id="34"/>
      <w:bookmarkEnd w:id="35"/>
    </w:p>
    <w:tbl>
      <w:tblPr>
        <w:tblStyle w:val="36"/>
        <w:tblW w:w="4302" w:type="pct"/>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954"/>
        <w:gridCol w:w="950"/>
        <w:gridCol w:w="1432"/>
        <w:gridCol w:w="951"/>
        <w:gridCol w:w="955"/>
        <w:gridCol w:w="951"/>
        <w:gridCol w:w="177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 w:type="pct"/>
            <w:vMerge w:val="restar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职务</w:t>
            </w:r>
          </w:p>
        </w:tc>
        <w:tc>
          <w:tcPr>
            <w:tcW w:w="490" w:type="pct"/>
            <w:vMerge w:val="restar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姓名</w:t>
            </w:r>
          </w:p>
        </w:tc>
        <w:tc>
          <w:tcPr>
            <w:tcW w:w="488" w:type="pct"/>
            <w:vMerge w:val="restar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职称</w:t>
            </w:r>
          </w:p>
        </w:tc>
        <w:tc>
          <w:tcPr>
            <w:tcW w:w="3113" w:type="pct"/>
            <w:gridSpan w:val="5"/>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执业或职业资格证明</w:t>
            </w:r>
          </w:p>
        </w:tc>
        <w:tc>
          <w:tcPr>
            <w:tcW w:w="46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 w:type="pct"/>
            <w:vMerge w:val="continue"/>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vMerge w:val="continue"/>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vMerge w:val="continue"/>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证书名称</w:t>
            </w:r>
          </w:p>
        </w:tc>
        <w:tc>
          <w:tcPr>
            <w:tcW w:w="48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级别</w:t>
            </w:r>
          </w:p>
        </w:tc>
        <w:tc>
          <w:tcPr>
            <w:tcW w:w="490"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证号</w:t>
            </w:r>
          </w:p>
        </w:tc>
        <w:tc>
          <w:tcPr>
            <w:tcW w:w="48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专业</w:t>
            </w:r>
          </w:p>
        </w:tc>
        <w:tc>
          <w:tcPr>
            <w:tcW w:w="90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养老保险</w:t>
            </w:r>
          </w:p>
        </w:tc>
        <w:tc>
          <w:tcPr>
            <w:tcW w:w="46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735"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90"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8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0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468" w:type="pct"/>
            <w:noWrap w:val="0"/>
            <w:vAlign w:val="top"/>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bl>
    <w:p>
      <w:pPr>
        <w:spacing w:line="440" w:lineRule="exact"/>
        <w:ind w:left="210" w:leftChars="100"/>
        <w:jc w:val="center"/>
        <w:rPr>
          <w:rFonts w:hint="eastAsia" w:ascii="黑体" w:hAnsi="黑体" w:eastAsia="黑体" w:cs="黑体"/>
          <w:b w:val="0"/>
          <w:color w:val="auto"/>
          <w:kern w:val="2"/>
          <w:sz w:val="24"/>
          <w:szCs w:val="24"/>
          <w:highlight w:val="none"/>
          <w:lang w:val="en-US" w:eastAsia="zh-CN" w:bidi="ar-SA"/>
        </w:rPr>
      </w:pPr>
    </w:p>
    <w:p>
      <w:pPr>
        <w:pStyle w:val="5"/>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br w:type="page"/>
      </w:r>
      <w:bookmarkStart w:id="36" w:name="_Toc342296590"/>
      <w:bookmarkStart w:id="37" w:name="_Toc241459833"/>
      <w:bookmarkStart w:id="38" w:name="_Toc144974873"/>
      <w:bookmarkStart w:id="39" w:name="_Toc179632825"/>
      <w:bookmarkStart w:id="40" w:name="_Toc152042594"/>
      <w:bookmarkStart w:id="41" w:name="_Toc362253057"/>
      <w:bookmarkStart w:id="42" w:name="_Toc152045805"/>
      <w:r>
        <w:rPr>
          <w:rFonts w:hint="eastAsia" w:ascii="黑体" w:hAnsi="黑体" w:eastAsia="黑体" w:cs="黑体"/>
          <w:b w:val="0"/>
          <w:color w:val="auto"/>
          <w:kern w:val="2"/>
          <w:sz w:val="24"/>
          <w:szCs w:val="24"/>
          <w:highlight w:val="none"/>
          <w:lang w:val="en-US" w:eastAsia="zh-CN" w:bidi="ar-SA"/>
        </w:rPr>
        <w:t>（二）主要人员简历表</w:t>
      </w:r>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175"/>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附1：项目经理简历表</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175"/>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项目经理应附建造师执业资格证书、注册证书（或建造师临时执业证书）、安全生产考核合格证书、身份证、职称证、学历证、及未担任其他在施建设工程项目项目经理的承诺书，管理过的项目业绩须附中标通知书或合同协议书、工程接收证明或工程完工验收记录复印件。类似项目限于以项目经理身份参与的项目。</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483"/>
        <w:gridCol w:w="961"/>
        <w:gridCol w:w="1413"/>
        <w:gridCol w:w="1443"/>
        <w:gridCol w:w="2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98"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姓  名</w:t>
            </w:r>
          </w:p>
        </w:tc>
        <w:tc>
          <w:tcPr>
            <w:tcW w:w="148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61"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年 龄</w:t>
            </w:r>
          </w:p>
        </w:tc>
        <w:tc>
          <w:tcPr>
            <w:tcW w:w="141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144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身 份 证</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 xml:space="preserve">学 历 </w:t>
            </w:r>
          </w:p>
        </w:tc>
        <w:tc>
          <w:tcPr>
            <w:tcW w:w="148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961"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 xml:space="preserve">职 称 </w:t>
            </w:r>
          </w:p>
        </w:tc>
        <w:tc>
          <w:tcPr>
            <w:tcW w:w="141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c>
          <w:tcPr>
            <w:tcW w:w="144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职    务</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执业资格等级</w:t>
            </w:r>
          </w:p>
        </w:tc>
        <w:tc>
          <w:tcPr>
            <w:tcW w:w="1413"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 xml:space="preserve">      级</w:t>
            </w:r>
          </w:p>
        </w:tc>
        <w:tc>
          <w:tcPr>
            <w:tcW w:w="1443"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建造师专业</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安全生产考核合格证书</w:t>
            </w:r>
          </w:p>
        </w:tc>
        <w:tc>
          <w:tcPr>
            <w:tcW w:w="4387" w:type="dxa"/>
            <w:gridSpan w:val="4"/>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毕业学校</w:t>
            </w:r>
          </w:p>
        </w:tc>
        <w:tc>
          <w:tcPr>
            <w:tcW w:w="6831" w:type="dxa"/>
            <w:gridSpan w:val="6"/>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7"/>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时  间</w:t>
            </w:r>
          </w:p>
        </w:tc>
        <w:tc>
          <w:tcPr>
            <w:tcW w:w="3857" w:type="dxa"/>
            <w:gridSpan w:val="3"/>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参加过的类似项目名称</w:t>
            </w:r>
          </w:p>
        </w:tc>
        <w:tc>
          <w:tcPr>
            <w:tcW w:w="1465" w:type="dxa"/>
            <w:gridSpan w:val="2"/>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工程概况说明</w:t>
            </w:r>
          </w:p>
        </w:tc>
        <w:tc>
          <w:tcPr>
            <w:tcW w:w="1509" w:type="dxa"/>
            <w:noWrap w:val="0"/>
            <w:vAlign w:val="center"/>
          </w:tcPr>
          <w:p>
            <w:pPr>
              <w:spacing w:line="440" w:lineRule="exact"/>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4"/>
                <w:szCs w:val="24"/>
                <w:highlight w:val="none"/>
                <w:lang w:val="en-US" w:eastAsia="zh-CN" w:bidi="ar-SA"/>
              </w:rPr>
            </w:pPr>
          </w:p>
        </w:tc>
      </w:tr>
    </w:tbl>
    <w:p>
      <w:pPr>
        <w:keepNext w:val="0"/>
        <w:keepLines w:val="0"/>
        <w:pageBreakBefore w:val="0"/>
        <w:widowControl/>
        <w:kinsoku/>
        <w:wordWrap/>
        <w:overflowPunct/>
        <w:topLinePunct w:val="0"/>
        <w:autoSpaceDE/>
        <w:autoSpaceDN/>
        <w:bidi w:val="0"/>
        <w:adjustRightInd/>
        <w:snapToGrid/>
        <w:ind w:left="638" w:leftChars="304" w:right="598" w:rightChars="285" w:firstLine="480" w:firstLineChars="200"/>
        <w:jc w:val="left"/>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br w:type="page"/>
      </w:r>
      <w:r>
        <w:rPr>
          <w:rFonts w:hint="eastAsia" w:ascii="黑体" w:hAnsi="黑体" w:eastAsia="黑体" w:cs="黑体"/>
          <w:b w:val="0"/>
          <w:color w:val="auto"/>
          <w:kern w:val="2"/>
          <w:sz w:val="24"/>
          <w:szCs w:val="24"/>
          <w:highlight w:val="none"/>
          <w:lang w:val="en-US" w:eastAsia="zh-CN" w:bidi="ar-SA"/>
        </w:rPr>
        <w:t>附2：主要项目管理人员简历表</w:t>
      </w:r>
    </w:p>
    <w:p>
      <w:pPr>
        <w:keepNext w:val="0"/>
        <w:keepLines w:val="0"/>
        <w:pageBreakBefore w:val="0"/>
        <w:kinsoku/>
        <w:wordWrap/>
        <w:overflowPunct/>
        <w:topLinePunct w:val="0"/>
        <w:autoSpaceDE/>
        <w:autoSpaceDN/>
        <w:bidi w:val="0"/>
        <w:adjustRightInd/>
        <w:snapToGrid/>
        <w:spacing w:line="400" w:lineRule="exact"/>
        <w:ind w:left="638" w:leftChars="304" w:right="598" w:rightChars="285" w:firstLine="480" w:firstLineChars="200"/>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主要项目管理人员指项目副经理、技术负责人、合同商务负责人、专职安全生产管理人员等岗位人员。应附注册资格证书、身份证、职称证、学历证，专职安全生产管理人员应附安全生产考核合格证书，主要业绩须附合同协议书。</w:t>
      </w:r>
    </w:p>
    <w:tbl>
      <w:tblPr>
        <w:tblStyle w:val="36"/>
        <w:tblW w:w="8222" w:type="dxa"/>
        <w:tblInd w:w="1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31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岗位名称</w:t>
            </w:r>
          </w:p>
        </w:tc>
        <w:tc>
          <w:tcPr>
            <w:tcW w:w="6140" w:type="dxa"/>
            <w:gridSpan w:val="3"/>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姓     名</w:t>
            </w:r>
          </w:p>
        </w:tc>
        <w:tc>
          <w:tcPr>
            <w:tcW w:w="2313"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c>
          <w:tcPr>
            <w:tcW w:w="184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年    龄</w:t>
            </w:r>
          </w:p>
        </w:tc>
        <w:tc>
          <w:tcPr>
            <w:tcW w:w="1985"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性     别</w:t>
            </w:r>
          </w:p>
        </w:tc>
        <w:tc>
          <w:tcPr>
            <w:tcW w:w="2313"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c>
          <w:tcPr>
            <w:tcW w:w="184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毕业学校</w:t>
            </w:r>
          </w:p>
        </w:tc>
        <w:tc>
          <w:tcPr>
            <w:tcW w:w="1985"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学历和专业</w:t>
            </w:r>
          </w:p>
        </w:tc>
        <w:tc>
          <w:tcPr>
            <w:tcW w:w="2313"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c>
          <w:tcPr>
            <w:tcW w:w="184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毕业时间</w:t>
            </w:r>
          </w:p>
        </w:tc>
        <w:tc>
          <w:tcPr>
            <w:tcW w:w="1985"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拥有的执业资格</w:t>
            </w:r>
          </w:p>
        </w:tc>
        <w:tc>
          <w:tcPr>
            <w:tcW w:w="2313"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c>
          <w:tcPr>
            <w:tcW w:w="184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专业职称</w:t>
            </w:r>
          </w:p>
        </w:tc>
        <w:tc>
          <w:tcPr>
            <w:tcW w:w="1985"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执业资格证书编号</w:t>
            </w:r>
          </w:p>
        </w:tc>
        <w:tc>
          <w:tcPr>
            <w:tcW w:w="2313"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c>
          <w:tcPr>
            <w:tcW w:w="1842"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工作年限</w:t>
            </w:r>
          </w:p>
        </w:tc>
        <w:tc>
          <w:tcPr>
            <w:tcW w:w="1985" w:type="dxa"/>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2082" w:type="dxa"/>
            <w:noWrap w:val="0"/>
            <w:textDirection w:val="tbRlV"/>
            <w:vAlign w:val="center"/>
          </w:tcPr>
          <w:p>
            <w:pPr>
              <w:spacing w:line="300" w:lineRule="auto"/>
              <w:ind w:left="216" w:leftChars="103" w:right="113" w:firstLine="0" w:firstLineChars="0"/>
              <w:jc w:val="center"/>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主要工作业绩及担任的主要工作</w:t>
            </w:r>
          </w:p>
        </w:tc>
        <w:tc>
          <w:tcPr>
            <w:tcW w:w="6140" w:type="dxa"/>
            <w:gridSpan w:val="3"/>
            <w:noWrap w:val="0"/>
            <w:vAlign w:val="center"/>
          </w:tcPr>
          <w:p>
            <w:pPr>
              <w:ind w:left="216" w:leftChars="103" w:firstLine="0" w:firstLineChars="0"/>
              <w:jc w:val="center"/>
              <w:rPr>
                <w:rFonts w:hint="eastAsia" w:ascii="黑体" w:hAnsi="黑体" w:eastAsia="黑体" w:cs="黑体"/>
                <w:b w:val="0"/>
                <w:color w:val="auto"/>
                <w:kern w:val="2"/>
                <w:sz w:val="24"/>
                <w:szCs w:val="24"/>
                <w:highlight w:val="none"/>
                <w:lang w:val="en-US" w:eastAsia="zh-CN" w:bidi="ar-SA"/>
              </w:rPr>
            </w:pPr>
          </w:p>
        </w:tc>
      </w:tr>
    </w:tbl>
    <w:p>
      <w:pPr>
        <w:spacing w:line="400" w:lineRule="exact"/>
        <w:ind w:left="216" w:leftChars="103" w:firstLine="0" w:firstLineChars="0"/>
        <w:rPr>
          <w:rFonts w:hint="eastAsia" w:ascii="黑体" w:hAnsi="黑体" w:eastAsia="黑体" w:cs="黑体"/>
          <w:b w:val="0"/>
          <w:color w:val="auto"/>
          <w:kern w:val="2"/>
          <w:sz w:val="21"/>
          <w:szCs w:val="21"/>
          <w:highlight w:val="none"/>
          <w:lang w:val="en-US" w:eastAsia="zh-CN" w:bidi="ar-SA"/>
        </w:rPr>
      </w:pPr>
    </w:p>
    <w:p>
      <w:pPr>
        <w:spacing w:line="240" w:lineRule="auto"/>
        <w:ind w:left="216" w:leftChars="103" w:firstLine="0" w:firstLineChars="0"/>
        <w:rPr>
          <w:rFonts w:hint="eastAsia" w:ascii="黑体" w:hAnsi="黑体" w:eastAsia="黑体" w:cs="黑体"/>
          <w:color w:val="auto"/>
          <w:szCs w:val="30"/>
          <w:highlight w:val="none"/>
        </w:rPr>
      </w:pPr>
    </w:p>
    <w:sectPr>
      <w:footerReference r:id="rId8" w:type="first"/>
      <w:footerReference r:id="rId7" w:type="default"/>
      <w:pgSz w:w="11911" w:h="16840"/>
      <w:pgMar w:top="1123" w:right="278" w:bottom="1100" w:left="533" w:header="720" w:footer="720" w:gutter="0"/>
      <w:pgBorders>
        <w:top w:val="none" w:sz="0" w:space="0"/>
        <w:left w:val="none" w:sz="0" w:space="0"/>
        <w:bottom w:val="none" w:sz="0" w:space="0"/>
        <w:right w:val="none" w:sz="0" w:space="0"/>
      </w:pgBorders>
      <w:pgNumType w:fmt="decimal" w:start="63"/>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0"/>
                            </w:rPr>
                          </w:pPr>
                          <w:r>
                            <w:fldChar w:fldCharType="begin"/>
                          </w:r>
                          <w:r>
                            <w:rPr>
                              <w:rStyle w:val="40"/>
                            </w:rPr>
                            <w:instrText xml:space="preserve">PAGE  </w:instrText>
                          </w:r>
                          <w:r>
                            <w:fldChar w:fldCharType="separate"/>
                          </w:r>
                          <w:r>
                            <w:rPr>
                              <w:rStyle w:val="40"/>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rPr>
                        <w:rStyle w:val="40"/>
                      </w:rPr>
                    </w:pPr>
                    <w:r>
                      <w:fldChar w:fldCharType="begin"/>
                    </w:r>
                    <w:r>
                      <w:rPr>
                        <w:rStyle w:val="40"/>
                      </w:rPr>
                      <w:instrText xml:space="preserve">PAGE  </w:instrText>
                    </w:r>
                    <w:r>
                      <w:fldChar w:fldCharType="separate"/>
                    </w:r>
                    <w:r>
                      <w:rPr>
                        <w:rStyle w:val="40"/>
                      </w:rP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0"/>
                            </w:rPr>
                          </w:pPr>
                          <w:r>
                            <w:fldChar w:fldCharType="begin"/>
                          </w:r>
                          <w:r>
                            <w:rPr>
                              <w:rStyle w:val="40"/>
                            </w:rPr>
                            <w:instrText xml:space="preserve">PAGE  </w:instrText>
                          </w:r>
                          <w:r>
                            <w:fldChar w:fldCharType="separate"/>
                          </w:r>
                          <w:r>
                            <w:rPr>
                              <w:rStyle w:val="40"/>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rPr>
                        <w:rStyle w:val="40"/>
                      </w:rPr>
                    </w:pPr>
                    <w:r>
                      <w:fldChar w:fldCharType="begin"/>
                    </w:r>
                    <w:r>
                      <w:rPr>
                        <w:rStyle w:val="40"/>
                      </w:rPr>
                      <w:instrText xml:space="preserve">PAGE  </w:instrText>
                    </w:r>
                    <w:r>
                      <w:fldChar w:fldCharType="separate"/>
                    </w:r>
                    <w:r>
                      <w:rPr>
                        <w:rStyle w:val="40"/>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default"/>
        <w:lang w:val="en-US"/>
      </w:rPr>
    </w:pPr>
    <w:r>
      <w:rPr>
        <w:rFonts w:hint="eastAsia" w:ascii="黑体" w:eastAsia="黑体"/>
        <w:b/>
        <w:lang w:val="en-US"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99745" cy="336550"/>
          <wp:effectExtent l="0" t="0" r="14605" b="6350"/>
          <wp:wrapTopAndBottom/>
          <wp:docPr id="12" name="图片 12" descr="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89"/>
                  <pic:cNvPicPr>
                    <a:picLocks noChangeAspect="1"/>
                  </pic:cNvPicPr>
                </pic:nvPicPr>
                <pic:blipFill>
                  <a:blip r:embed="rId1"/>
                  <a:stretch>
                    <a:fillRect/>
                  </a:stretch>
                </pic:blipFill>
                <pic:spPr>
                  <a:xfrm>
                    <a:off x="0" y="0"/>
                    <a:ext cx="499745" cy="336550"/>
                  </a:xfrm>
                  <a:prstGeom prst="rect">
                    <a:avLst/>
                  </a:prstGeom>
                </pic:spPr>
              </pic:pic>
            </a:graphicData>
          </a:graphic>
        </wp:anchor>
      </w:drawing>
    </w:r>
    <w:r>
      <w:rPr>
        <w:rFonts w:hint="eastAsia" w:ascii="黑体" w:eastAsia="黑体"/>
        <w:b/>
        <w:lang w:val="en-US" w:eastAsia="zh-CN"/>
      </w:rPr>
      <w:t xml:space="preserve">                                  </w:t>
    </w:r>
    <w:r>
      <w:rPr>
        <w:rFonts w:hint="eastAsia" w:ascii="黑体" w:eastAsia="黑体"/>
        <w:b w:val="0"/>
        <w:bCs/>
        <w:lang w:val="en-US" w:eastAsia="zh-CN"/>
      </w:rPr>
      <w:t xml:space="preserve">     </w:t>
    </w:r>
    <w:r>
      <w:rPr>
        <w:rFonts w:hint="eastAsia"/>
        <w:lang w:val="en-US" w:eastAsia="zh-CN"/>
      </w:rPr>
      <w:t>消防系统安装工程专业分包工程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黑体" w:eastAsia="黑体"/>
        <w:b/>
      </w:rPr>
      <w:drawing>
        <wp:anchor distT="0" distB="0" distL="114300" distR="114300" simplePos="0" relativeHeight="251663360" behindDoc="0" locked="0" layoutInCell="1" allowOverlap="1">
          <wp:simplePos x="0" y="0"/>
          <wp:positionH relativeFrom="column">
            <wp:posOffset>74295</wp:posOffset>
          </wp:positionH>
          <wp:positionV relativeFrom="paragraph">
            <wp:posOffset>10795</wp:posOffset>
          </wp:positionV>
          <wp:extent cx="455295" cy="282575"/>
          <wp:effectExtent l="0" t="0" r="1905" b="3175"/>
          <wp:wrapNone/>
          <wp:docPr id="4" name="图片 4"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司徽"/>
                  <pic:cNvPicPr>
                    <a:picLocks noChangeAspect="1"/>
                  </pic:cNvPicPr>
                </pic:nvPicPr>
                <pic:blipFill>
                  <a:blip r:embed="rId1"/>
                  <a:stretch>
                    <a:fillRect/>
                  </a:stretch>
                </pic:blipFill>
                <pic:spPr>
                  <a:xfrm>
                    <a:off x="0" y="0"/>
                    <a:ext cx="455295" cy="282575"/>
                  </a:xfrm>
                  <a:prstGeom prst="rect">
                    <a:avLst/>
                  </a:prstGeom>
                  <a:noFill/>
                  <a:ln>
                    <a:noFill/>
                  </a:ln>
                </pic:spPr>
              </pic:pic>
            </a:graphicData>
          </a:graphic>
        </wp:anchor>
      </w:drawing>
    </w:r>
    <w:r>
      <w:rPr>
        <w:rFonts w:hint="eastAsia"/>
        <w:lang w:val="en-US" w:eastAsia="zh-CN"/>
      </w:rPr>
      <w:t>建设工程专业分包合</w:t>
    </w:r>
    <w:r>
      <w:rPr>
        <w:rFonts w:hint="eastAsia" w:ascii="黑体" w:eastAsia="黑体"/>
        <w:b/>
      </w:rPr>
      <w:drawing>
        <wp:anchor distT="0" distB="0" distL="114300" distR="114300" simplePos="0" relativeHeight="251661312" behindDoc="0" locked="0" layoutInCell="1" allowOverlap="1">
          <wp:simplePos x="0" y="0"/>
          <wp:positionH relativeFrom="column">
            <wp:posOffset>74295</wp:posOffset>
          </wp:positionH>
          <wp:positionV relativeFrom="paragraph">
            <wp:posOffset>10795</wp:posOffset>
          </wp:positionV>
          <wp:extent cx="455295" cy="282575"/>
          <wp:effectExtent l="0" t="0" r="1905" b="3175"/>
          <wp:wrapNone/>
          <wp:docPr id="5"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司徽"/>
                  <pic:cNvPicPr>
                    <a:picLocks noChangeAspect="1"/>
                  </pic:cNvPicPr>
                </pic:nvPicPr>
                <pic:blipFill>
                  <a:blip r:embed="rId1"/>
                  <a:stretch>
                    <a:fillRect/>
                  </a:stretch>
                </pic:blipFill>
                <pic:spPr>
                  <a:xfrm>
                    <a:off x="0" y="0"/>
                    <a:ext cx="455295" cy="282575"/>
                  </a:xfrm>
                  <a:prstGeom prst="rect">
                    <a:avLst/>
                  </a:prstGeom>
                  <a:noFill/>
                  <a:ln>
                    <a:noFill/>
                  </a:ln>
                </pic:spPr>
              </pic:pic>
            </a:graphicData>
          </a:graphic>
        </wp:anchor>
      </w:drawing>
    </w:r>
    <w:r>
      <w:rPr>
        <w:rFonts w:hint="eastAsia"/>
        <w:lang w:val="en-US" w:eastAsia="zh-CN"/>
      </w:rPr>
      <w:t>同</w:t>
    </w:r>
    <w:r>
      <w:rPr>
        <w:rFonts w:hint="eastAsia" w:ascii="黑体" w:eastAsia="黑体"/>
        <w:b/>
      </w:rPr>
      <w:drawing>
        <wp:anchor distT="0" distB="0" distL="114300" distR="114300" simplePos="0" relativeHeight="251660288" behindDoc="0" locked="0" layoutInCell="1" allowOverlap="1">
          <wp:simplePos x="0" y="0"/>
          <wp:positionH relativeFrom="column">
            <wp:posOffset>74295</wp:posOffset>
          </wp:positionH>
          <wp:positionV relativeFrom="paragraph">
            <wp:posOffset>10795</wp:posOffset>
          </wp:positionV>
          <wp:extent cx="455295" cy="282575"/>
          <wp:effectExtent l="0" t="0" r="1905" b="3175"/>
          <wp:wrapNone/>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pic:cNvPicPr>
                </pic:nvPicPr>
                <pic:blipFill>
                  <a:blip r:embed="rId1"/>
                  <a:stretch>
                    <a:fillRect/>
                  </a:stretch>
                </pic:blipFill>
                <pic:spPr>
                  <a:xfrm>
                    <a:off x="0" y="0"/>
                    <a:ext cx="45529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0BBDB"/>
    <w:multiLevelType w:val="singleLevel"/>
    <w:tmpl w:val="CDB0BBDB"/>
    <w:lvl w:ilvl="0" w:tentative="0">
      <w:start w:val="1"/>
      <w:numFmt w:val="decimal"/>
      <w:suff w:val="nothing"/>
      <w:lvlText w:val="%1、"/>
      <w:lvlJc w:val="left"/>
    </w:lvl>
  </w:abstractNum>
  <w:abstractNum w:abstractNumId="1">
    <w:nsid w:val="00000002"/>
    <w:multiLevelType w:val="multilevel"/>
    <w:tmpl w:val="00000002"/>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decimal"/>
      <w:pStyle w:val="68"/>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71"/>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9A423D"/>
    <w:multiLevelType w:val="singleLevel"/>
    <w:tmpl w:val="009A423D"/>
    <w:lvl w:ilvl="0" w:tentative="0">
      <w:start w:val="1"/>
      <w:numFmt w:val="decimal"/>
      <w:suff w:val="nothing"/>
      <w:lvlText w:val="%1、"/>
      <w:lvlJc w:val="left"/>
    </w:lvl>
  </w:abstractNum>
  <w:abstractNum w:abstractNumId="4">
    <w:nsid w:val="14ED0461"/>
    <w:multiLevelType w:val="singleLevel"/>
    <w:tmpl w:val="14ED0461"/>
    <w:lvl w:ilvl="0" w:tentative="0">
      <w:start w:val="2"/>
      <w:numFmt w:val="chineseCounting"/>
      <w:suff w:val="nothing"/>
      <w:lvlText w:val="%1、"/>
      <w:lvlJc w:val="left"/>
      <w:rPr>
        <w:rFonts w:hint="eastAsia"/>
      </w:rPr>
    </w:lvl>
  </w:abstractNum>
  <w:abstractNum w:abstractNumId="5">
    <w:nsid w:val="1EB94F6D"/>
    <w:multiLevelType w:val="singleLevel"/>
    <w:tmpl w:val="1EB94F6D"/>
    <w:lvl w:ilvl="0" w:tentative="0">
      <w:start w:val="19"/>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游">
    <w15:presenceInfo w15:providerId="WPS Office" w15:userId="2754428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dhOTkwOTExZmZmYjE1NTQ4ZTkwODgyZTk1ODQifQ=="/>
  </w:docVars>
  <w:rsids>
    <w:rsidRoot w:val="00172A27"/>
    <w:rsid w:val="000005C1"/>
    <w:rsid w:val="00000ABB"/>
    <w:rsid w:val="000014B5"/>
    <w:rsid w:val="000015A8"/>
    <w:rsid w:val="00001E53"/>
    <w:rsid w:val="000028B0"/>
    <w:rsid w:val="000028B3"/>
    <w:rsid w:val="00005FFE"/>
    <w:rsid w:val="00006C5F"/>
    <w:rsid w:val="00007658"/>
    <w:rsid w:val="000077D9"/>
    <w:rsid w:val="00007B62"/>
    <w:rsid w:val="00007BDA"/>
    <w:rsid w:val="00011149"/>
    <w:rsid w:val="00011F9F"/>
    <w:rsid w:val="00011FD9"/>
    <w:rsid w:val="000135BB"/>
    <w:rsid w:val="000157BD"/>
    <w:rsid w:val="00015887"/>
    <w:rsid w:val="00015A41"/>
    <w:rsid w:val="0001711F"/>
    <w:rsid w:val="00020B25"/>
    <w:rsid w:val="00022B9E"/>
    <w:rsid w:val="00022C42"/>
    <w:rsid w:val="00022DF7"/>
    <w:rsid w:val="00026221"/>
    <w:rsid w:val="00026525"/>
    <w:rsid w:val="000303C5"/>
    <w:rsid w:val="00030964"/>
    <w:rsid w:val="00031E4E"/>
    <w:rsid w:val="00032B56"/>
    <w:rsid w:val="00033F35"/>
    <w:rsid w:val="0003504D"/>
    <w:rsid w:val="00035B66"/>
    <w:rsid w:val="0004026B"/>
    <w:rsid w:val="00041D52"/>
    <w:rsid w:val="00042F87"/>
    <w:rsid w:val="0004410E"/>
    <w:rsid w:val="000442E2"/>
    <w:rsid w:val="00045104"/>
    <w:rsid w:val="000467E4"/>
    <w:rsid w:val="0005032B"/>
    <w:rsid w:val="0005078D"/>
    <w:rsid w:val="00050E0D"/>
    <w:rsid w:val="00051FDC"/>
    <w:rsid w:val="000542B2"/>
    <w:rsid w:val="000546CD"/>
    <w:rsid w:val="00054ECA"/>
    <w:rsid w:val="00055563"/>
    <w:rsid w:val="00055793"/>
    <w:rsid w:val="00055F5E"/>
    <w:rsid w:val="000567C9"/>
    <w:rsid w:val="00056BDB"/>
    <w:rsid w:val="00060101"/>
    <w:rsid w:val="00064010"/>
    <w:rsid w:val="000644C4"/>
    <w:rsid w:val="00066AB8"/>
    <w:rsid w:val="00070558"/>
    <w:rsid w:val="00072D84"/>
    <w:rsid w:val="000773B6"/>
    <w:rsid w:val="00077B3D"/>
    <w:rsid w:val="00082547"/>
    <w:rsid w:val="00085A9F"/>
    <w:rsid w:val="00085CA4"/>
    <w:rsid w:val="000869E8"/>
    <w:rsid w:val="00087267"/>
    <w:rsid w:val="0009172D"/>
    <w:rsid w:val="00091885"/>
    <w:rsid w:val="00091C43"/>
    <w:rsid w:val="00091F56"/>
    <w:rsid w:val="00096CCB"/>
    <w:rsid w:val="00097225"/>
    <w:rsid w:val="0009722C"/>
    <w:rsid w:val="00097B0C"/>
    <w:rsid w:val="000A2EE2"/>
    <w:rsid w:val="000A43DA"/>
    <w:rsid w:val="000A4E28"/>
    <w:rsid w:val="000A5F42"/>
    <w:rsid w:val="000A6A2C"/>
    <w:rsid w:val="000A6B19"/>
    <w:rsid w:val="000A70AB"/>
    <w:rsid w:val="000B0F12"/>
    <w:rsid w:val="000B1627"/>
    <w:rsid w:val="000B1F18"/>
    <w:rsid w:val="000B2415"/>
    <w:rsid w:val="000B3278"/>
    <w:rsid w:val="000B425B"/>
    <w:rsid w:val="000B4472"/>
    <w:rsid w:val="000B51DE"/>
    <w:rsid w:val="000B7FBA"/>
    <w:rsid w:val="000C029D"/>
    <w:rsid w:val="000C07AC"/>
    <w:rsid w:val="000C0AFF"/>
    <w:rsid w:val="000C1993"/>
    <w:rsid w:val="000C19DA"/>
    <w:rsid w:val="000C25A1"/>
    <w:rsid w:val="000C402C"/>
    <w:rsid w:val="000C481D"/>
    <w:rsid w:val="000C4CE0"/>
    <w:rsid w:val="000C5C78"/>
    <w:rsid w:val="000C61F1"/>
    <w:rsid w:val="000C7312"/>
    <w:rsid w:val="000D1093"/>
    <w:rsid w:val="000D50CA"/>
    <w:rsid w:val="000D6E3D"/>
    <w:rsid w:val="000E2641"/>
    <w:rsid w:val="000E3150"/>
    <w:rsid w:val="000E319F"/>
    <w:rsid w:val="000E33AE"/>
    <w:rsid w:val="000E60D8"/>
    <w:rsid w:val="000E7670"/>
    <w:rsid w:val="000F024A"/>
    <w:rsid w:val="000F3A65"/>
    <w:rsid w:val="000F3A83"/>
    <w:rsid w:val="000F3BD7"/>
    <w:rsid w:val="000F3DC0"/>
    <w:rsid w:val="000F4566"/>
    <w:rsid w:val="000F45FE"/>
    <w:rsid w:val="000F4893"/>
    <w:rsid w:val="000F6F64"/>
    <w:rsid w:val="000F71A6"/>
    <w:rsid w:val="000F7622"/>
    <w:rsid w:val="000F7DD0"/>
    <w:rsid w:val="001000A1"/>
    <w:rsid w:val="001011B2"/>
    <w:rsid w:val="00101221"/>
    <w:rsid w:val="00102644"/>
    <w:rsid w:val="00102B66"/>
    <w:rsid w:val="00103D99"/>
    <w:rsid w:val="001046B9"/>
    <w:rsid w:val="00105058"/>
    <w:rsid w:val="001117C2"/>
    <w:rsid w:val="001134A5"/>
    <w:rsid w:val="00113516"/>
    <w:rsid w:val="001139B3"/>
    <w:rsid w:val="00115373"/>
    <w:rsid w:val="00116A1F"/>
    <w:rsid w:val="00117AD1"/>
    <w:rsid w:val="00120ABD"/>
    <w:rsid w:val="00121CF9"/>
    <w:rsid w:val="0012359E"/>
    <w:rsid w:val="001262EE"/>
    <w:rsid w:val="001275A8"/>
    <w:rsid w:val="001277E3"/>
    <w:rsid w:val="00127E68"/>
    <w:rsid w:val="00131D57"/>
    <w:rsid w:val="00131F01"/>
    <w:rsid w:val="00140A1B"/>
    <w:rsid w:val="00140C3F"/>
    <w:rsid w:val="0014271E"/>
    <w:rsid w:val="0014385C"/>
    <w:rsid w:val="00144A5D"/>
    <w:rsid w:val="00150533"/>
    <w:rsid w:val="001524C1"/>
    <w:rsid w:val="001529FF"/>
    <w:rsid w:val="00153542"/>
    <w:rsid w:val="00153DBF"/>
    <w:rsid w:val="001568BB"/>
    <w:rsid w:val="00161064"/>
    <w:rsid w:val="001627B2"/>
    <w:rsid w:val="00165F1E"/>
    <w:rsid w:val="00166DBC"/>
    <w:rsid w:val="001678B9"/>
    <w:rsid w:val="00167E52"/>
    <w:rsid w:val="00170FAB"/>
    <w:rsid w:val="00171890"/>
    <w:rsid w:val="00172A27"/>
    <w:rsid w:val="001741DD"/>
    <w:rsid w:val="00176687"/>
    <w:rsid w:val="001778C3"/>
    <w:rsid w:val="00180843"/>
    <w:rsid w:val="00183ABD"/>
    <w:rsid w:val="00185033"/>
    <w:rsid w:val="0019376E"/>
    <w:rsid w:val="00193EFF"/>
    <w:rsid w:val="0019453D"/>
    <w:rsid w:val="00197B28"/>
    <w:rsid w:val="00197C66"/>
    <w:rsid w:val="001A0285"/>
    <w:rsid w:val="001A02B8"/>
    <w:rsid w:val="001A0336"/>
    <w:rsid w:val="001A2FE0"/>
    <w:rsid w:val="001A3431"/>
    <w:rsid w:val="001A399B"/>
    <w:rsid w:val="001A3E9C"/>
    <w:rsid w:val="001A56AA"/>
    <w:rsid w:val="001B2E72"/>
    <w:rsid w:val="001B34EE"/>
    <w:rsid w:val="001B3D0A"/>
    <w:rsid w:val="001B4005"/>
    <w:rsid w:val="001B41DD"/>
    <w:rsid w:val="001B4C63"/>
    <w:rsid w:val="001B6BAE"/>
    <w:rsid w:val="001C0023"/>
    <w:rsid w:val="001C0B64"/>
    <w:rsid w:val="001C0FCC"/>
    <w:rsid w:val="001C397B"/>
    <w:rsid w:val="001C3ADC"/>
    <w:rsid w:val="001C65BB"/>
    <w:rsid w:val="001C6F9E"/>
    <w:rsid w:val="001C7DD5"/>
    <w:rsid w:val="001D084A"/>
    <w:rsid w:val="001D535D"/>
    <w:rsid w:val="001D62A2"/>
    <w:rsid w:val="001E03BC"/>
    <w:rsid w:val="001E1618"/>
    <w:rsid w:val="001E59ED"/>
    <w:rsid w:val="001E5C0B"/>
    <w:rsid w:val="001F0013"/>
    <w:rsid w:val="001F0603"/>
    <w:rsid w:val="001F30CE"/>
    <w:rsid w:val="001F3B4D"/>
    <w:rsid w:val="001F46CD"/>
    <w:rsid w:val="001F4B6D"/>
    <w:rsid w:val="001F60D2"/>
    <w:rsid w:val="001F6D78"/>
    <w:rsid w:val="0020034A"/>
    <w:rsid w:val="0020302D"/>
    <w:rsid w:val="00206570"/>
    <w:rsid w:val="00207908"/>
    <w:rsid w:val="00207FA5"/>
    <w:rsid w:val="0021012A"/>
    <w:rsid w:val="002101EF"/>
    <w:rsid w:val="002115E2"/>
    <w:rsid w:val="00212E8B"/>
    <w:rsid w:val="00213E82"/>
    <w:rsid w:val="002161FD"/>
    <w:rsid w:val="002231D6"/>
    <w:rsid w:val="00225A1E"/>
    <w:rsid w:val="00225A33"/>
    <w:rsid w:val="0022680C"/>
    <w:rsid w:val="0023655A"/>
    <w:rsid w:val="00236A26"/>
    <w:rsid w:val="002402DE"/>
    <w:rsid w:val="00241276"/>
    <w:rsid w:val="00241303"/>
    <w:rsid w:val="00243076"/>
    <w:rsid w:val="00243793"/>
    <w:rsid w:val="00243F0F"/>
    <w:rsid w:val="002457AD"/>
    <w:rsid w:val="00245EC0"/>
    <w:rsid w:val="00246A80"/>
    <w:rsid w:val="00250CC7"/>
    <w:rsid w:val="00251536"/>
    <w:rsid w:val="00252F61"/>
    <w:rsid w:val="00257687"/>
    <w:rsid w:val="00257DEC"/>
    <w:rsid w:val="00263195"/>
    <w:rsid w:val="0026448B"/>
    <w:rsid w:val="0026523F"/>
    <w:rsid w:val="0026545F"/>
    <w:rsid w:val="00265F29"/>
    <w:rsid w:val="002661CD"/>
    <w:rsid w:val="00266BEB"/>
    <w:rsid w:val="002701C7"/>
    <w:rsid w:val="002707B4"/>
    <w:rsid w:val="0027272C"/>
    <w:rsid w:val="00272807"/>
    <w:rsid w:val="00272B0E"/>
    <w:rsid w:val="00272EE7"/>
    <w:rsid w:val="0027372F"/>
    <w:rsid w:val="00273755"/>
    <w:rsid w:val="00273C86"/>
    <w:rsid w:val="002744C0"/>
    <w:rsid w:val="0027552F"/>
    <w:rsid w:val="00276C11"/>
    <w:rsid w:val="00277707"/>
    <w:rsid w:val="0028077A"/>
    <w:rsid w:val="002818D7"/>
    <w:rsid w:val="00281BA7"/>
    <w:rsid w:val="00283511"/>
    <w:rsid w:val="00284F64"/>
    <w:rsid w:val="002910EB"/>
    <w:rsid w:val="002924B4"/>
    <w:rsid w:val="00292A42"/>
    <w:rsid w:val="00295DC8"/>
    <w:rsid w:val="00297AF9"/>
    <w:rsid w:val="002A09F2"/>
    <w:rsid w:val="002A149D"/>
    <w:rsid w:val="002A15F2"/>
    <w:rsid w:val="002A25D5"/>
    <w:rsid w:val="002A35F4"/>
    <w:rsid w:val="002A525B"/>
    <w:rsid w:val="002A75C3"/>
    <w:rsid w:val="002B2BC3"/>
    <w:rsid w:val="002B6432"/>
    <w:rsid w:val="002B6711"/>
    <w:rsid w:val="002B6E6D"/>
    <w:rsid w:val="002C0189"/>
    <w:rsid w:val="002C1390"/>
    <w:rsid w:val="002C2891"/>
    <w:rsid w:val="002C491C"/>
    <w:rsid w:val="002C5A12"/>
    <w:rsid w:val="002D0990"/>
    <w:rsid w:val="002D1887"/>
    <w:rsid w:val="002D1FB7"/>
    <w:rsid w:val="002D247C"/>
    <w:rsid w:val="002D27CF"/>
    <w:rsid w:val="002D2A91"/>
    <w:rsid w:val="002D5894"/>
    <w:rsid w:val="002D5955"/>
    <w:rsid w:val="002D5FB8"/>
    <w:rsid w:val="002D630F"/>
    <w:rsid w:val="002D6D01"/>
    <w:rsid w:val="002D7B68"/>
    <w:rsid w:val="002E10D0"/>
    <w:rsid w:val="002E12B5"/>
    <w:rsid w:val="002E1528"/>
    <w:rsid w:val="002E19C4"/>
    <w:rsid w:val="002E286B"/>
    <w:rsid w:val="002E28C2"/>
    <w:rsid w:val="002E387D"/>
    <w:rsid w:val="002E4445"/>
    <w:rsid w:val="002E4830"/>
    <w:rsid w:val="002E6BD6"/>
    <w:rsid w:val="002E783B"/>
    <w:rsid w:val="002E78F7"/>
    <w:rsid w:val="002F0ABE"/>
    <w:rsid w:val="002F2412"/>
    <w:rsid w:val="002F2C67"/>
    <w:rsid w:val="002F3F55"/>
    <w:rsid w:val="002F4E7A"/>
    <w:rsid w:val="002F4F14"/>
    <w:rsid w:val="00300593"/>
    <w:rsid w:val="0030095E"/>
    <w:rsid w:val="0030189D"/>
    <w:rsid w:val="0030244C"/>
    <w:rsid w:val="00302E38"/>
    <w:rsid w:val="003041E6"/>
    <w:rsid w:val="00304262"/>
    <w:rsid w:val="003054CC"/>
    <w:rsid w:val="0030610A"/>
    <w:rsid w:val="0030655B"/>
    <w:rsid w:val="00306676"/>
    <w:rsid w:val="0030673F"/>
    <w:rsid w:val="00306BE2"/>
    <w:rsid w:val="00311A91"/>
    <w:rsid w:val="00313D40"/>
    <w:rsid w:val="00316011"/>
    <w:rsid w:val="00317C58"/>
    <w:rsid w:val="00317CFC"/>
    <w:rsid w:val="003209B3"/>
    <w:rsid w:val="00321135"/>
    <w:rsid w:val="00321584"/>
    <w:rsid w:val="0032225F"/>
    <w:rsid w:val="003224CC"/>
    <w:rsid w:val="00323264"/>
    <w:rsid w:val="003257FB"/>
    <w:rsid w:val="00326128"/>
    <w:rsid w:val="00327EDD"/>
    <w:rsid w:val="003300DF"/>
    <w:rsid w:val="00330D6E"/>
    <w:rsid w:val="003327A4"/>
    <w:rsid w:val="00332CA6"/>
    <w:rsid w:val="00333714"/>
    <w:rsid w:val="003343DF"/>
    <w:rsid w:val="00335345"/>
    <w:rsid w:val="003353C5"/>
    <w:rsid w:val="00335BAB"/>
    <w:rsid w:val="00340E2D"/>
    <w:rsid w:val="00341DF2"/>
    <w:rsid w:val="00343261"/>
    <w:rsid w:val="00343D39"/>
    <w:rsid w:val="003447A8"/>
    <w:rsid w:val="00344A53"/>
    <w:rsid w:val="003461B7"/>
    <w:rsid w:val="0034783B"/>
    <w:rsid w:val="00350076"/>
    <w:rsid w:val="003501A6"/>
    <w:rsid w:val="003514EF"/>
    <w:rsid w:val="00352317"/>
    <w:rsid w:val="00353E1E"/>
    <w:rsid w:val="00353E3C"/>
    <w:rsid w:val="003566FA"/>
    <w:rsid w:val="00363872"/>
    <w:rsid w:val="00364A2E"/>
    <w:rsid w:val="0036595B"/>
    <w:rsid w:val="00370623"/>
    <w:rsid w:val="003708A1"/>
    <w:rsid w:val="00370B69"/>
    <w:rsid w:val="00370D08"/>
    <w:rsid w:val="003711EC"/>
    <w:rsid w:val="003735D5"/>
    <w:rsid w:val="003735FE"/>
    <w:rsid w:val="0037483C"/>
    <w:rsid w:val="0037750E"/>
    <w:rsid w:val="0037797B"/>
    <w:rsid w:val="00380886"/>
    <w:rsid w:val="00381727"/>
    <w:rsid w:val="00384030"/>
    <w:rsid w:val="003841BA"/>
    <w:rsid w:val="00384EE7"/>
    <w:rsid w:val="00384F00"/>
    <w:rsid w:val="003857A0"/>
    <w:rsid w:val="00385AEC"/>
    <w:rsid w:val="0038681F"/>
    <w:rsid w:val="0038779B"/>
    <w:rsid w:val="00394005"/>
    <w:rsid w:val="00394D8A"/>
    <w:rsid w:val="0039576E"/>
    <w:rsid w:val="00396567"/>
    <w:rsid w:val="00396923"/>
    <w:rsid w:val="00396A4C"/>
    <w:rsid w:val="00396E25"/>
    <w:rsid w:val="00396FBF"/>
    <w:rsid w:val="003A03DD"/>
    <w:rsid w:val="003A0D09"/>
    <w:rsid w:val="003A3C2A"/>
    <w:rsid w:val="003A4A98"/>
    <w:rsid w:val="003A5308"/>
    <w:rsid w:val="003A6103"/>
    <w:rsid w:val="003A7162"/>
    <w:rsid w:val="003A7A35"/>
    <w:rsid w:val="003B0998"/>
    <w:rsid w:val="003B1BAD"/>
    <w:rsid w:val="003B39DD"/>
    <w:rsid w:val="003B4095"/>
    <w:rsid w:val="003B4A47"/>
    <w:rsid w:val="003B5578"/>
    <w:rsid w:val="003B5AF6"/>
    <w:rsid w:val="003C0E50"/>
    <w:rsid w:val="003C21C7"/>
    <w:rsid w:val="003C2F6B"/>
    <w:rsid w:val="003C35F1"/>
    <w:rsid w:val="003C6017"/>
    <w:rsid w:val="003C60CC"/>
    <w:rsid w:val="003C7943"/>
    <w:rsid w:val="003D5118"/>
    <w:rsid w:val="003D53CD"/>
    <w:rsid w:val="003D6DC9"/>
    <w:rsid w:val="003D7EE6"/>
    <w:rsid w:val="003E0109"/>
    <w:rsid w:val="003E047B"/>
    <w:rsid w:val="003E24B8"/>
    <w:rsid w:val="003E299F"/>
    <w:rsid w:val="003E3794"/>
    <w:rsid w:val="003E39DD"/>
    <w:rsid w:val="003E4C83"/>
    <w:rsid w:val="003E4F44"/>
    <w:rsid w:val="003E7448"/>
    <w:rsid w:val="003E7BAF"/>
    <w:rsid w:val="003F2C36"/>
    <w:rsid w:val="003F532B"/>
    <w:rsid w:val="003F64DA"/>
    <w:rsid w:val="003F7DEA"/>
    <w:rsid w:val="00401941"/>
    <w:rsid w:val="00403520"/>
    <w:rsid w:val="00403FB7"/>
    <w:rsid w:val="004042E5"/>
    <w:rsid w:val="00404314"/>
    <w:rsid w:val="00404917"/>
    <w:rsid w:val="00404D55"/>
    <w:rsid w:val="004072CC"/>
    <w:rsid w:val="004078B0"/>
    <w:rsid w:val="00410755"/>
    <w:rsid w:val="00411036"/>
    <w:rsid w:val="00411903"/>
    <w:rsid w:val="0041304D"/>
    <w:rsid w:val="004130A2"/>
    <w:rsid w:val="0041530C"/>
    <w:rsid w:val="00415A14"/>
    <w:rsid w:val="00416554"/>
    <w:rsid w:val="00417705"/>
    <w:rsid w:val="00422993"/>
    <w:rsid w:val="00422AB1"/>
    <w:rsid w:val="00422E4C"/>
    <w:rsid w:val="004241AA"/>
    <w:rsid w:val="00426250"/>
    <w:rsid w:val="0043156A"/>
    <w:rsid w:val="00435431"/>
    <w:rsid w:val="00437846"/>
    <w:rsid w:val="004400C1"/>
    <w:rsid w:val="004433F1"/>
    <w:rsid w:val="00444291"/>
    <w:rsid w:val="00451C0F"/>
    <w:rsid w:val="00452328"/>
    <w:rsid w:val="00453E20"/>
    <w:rsid w:val="00455FB1"/>
    <w:rsid w:val="004573AF"/>
    <w:rsid w:val="004603D5"/>
    <w:rsid w:val="00461070"/>
    <w:rsid w:val="00462EDF"/>
    <w:rsid w:val="00464F00"/>
    <w:rsid w:val="00465832"/>
    <w:rsid w:val="004663A8"/>
    <w:rsid w:val="004668EA"/>
    <w:rsid w:val="004669D9"/>
    <w:rsid w:val="00467017"/>
    <w:rsid w:val="004700B7"/>
    <w:rsid w:val="00470608"/>
    <w:rsid w:val="00472925"/>
    <w:rsid w:val="004767A9"/>
    <w:rsid w:val="00477308"/>
    <w:rsid w:val="00480087"/>
    <w:rsid w:val="0048059F"/>
    <w:rsid w:val="00480986"/>
    <w:rsid w:val="00481EF5"/>
    <w:rsid w:val="0048247A"/>
    <w:rsid w:val="004836AD"/>
    <w:rsid w:val="0048463D"/>
    <w:rsid w:val="004863EB"/>
    <w:rsid w:val="00487360"/>
    <w:rsid w:val="00490B6F"/>
    <w:rsid w:val="00493DA8"/>
    <w:rsid w:val="004A163E"/>
    <w:rsid w:val="004A1650"/>
    <w:rsid w:val="004A3068"/>
    <w:rsid w:val="004A3ADB"/>
    <w:rsid w:val="004A542F"/>
    <w:rsid w:val="004A690B"/>
    <w:rsid w:val="004B000E"/>
    <w:rsid w:val="004B09EB"/>
    <w:rsid w:val="004B4376"/>
    <w:rsid w:val="004B4807"/>
    <w:rsid w:val="004B5160"/>
    <w:rsid w:val="004B56FB"/>
    <w:rsid w:val="004B5B43"/>
    <w:rsid w:val="004B6437"/>
    <w:rsid w:val="004C26F6"/>
    <w:rsid w:val="004C3F7D"/>
    <w:rsid w:val="004C4A9F"/>
    <w:rsid w:val="004C7411"/>
    <w:rsid w:val="004D03BF"/>
    <w:rsid w:val="004D09EA"/>
    <w:rsid w:val="004D0F00"/>
    <w:rsid w:val="004D282B"/>
    <w:rsid w:val="004D46A3"/>
    <w:rsid w:val="004D4894"/>
    <w:rsid w:val="004D4AEE"/>
    <w:rsid w:val="004D7516"/>
    <w:rsid w:val="004E0EC7"/>
    <w:rsid w:val="004E19FD"/>
    <w:rsid w:val="004E1AC1"/>
    <w:rsid w:val="004E2FAB"/>
    <w:rsid w:val="004E3AB9"/>
    <w:rsid w:val="004E3D08"/>
    <w:rsid w:val="004E61C0"/>
    <w:rsid w:val="004E7697"/>
    <w:rsid w:val="004F1E42"/>
    <w:rsid w:val="004F392B"/>
    <w:rsid w:val="004F3B6A"/>
    <w:rsid w:val="004F3F6C"/>
    <w:rsid w:val="004F619D"/>
    <w:rsid w:val="004F7120"/>
    <w:rsid w:val="004F7EBE"/>
    <w:rsid w:val="00502341"/>
    <w:rsid w:val="00502B89"/>
    <w:rsid w:val="00503CB3"/>
    <w:rsid w:val="0050549E"/>
    <w:rsid w:val="00506CDD"/>
    <w:rsid w:val="005077F4"/>
    <w:rsid w:val="00513F24"/>
    <w:rsid w:val="0051592E"/>
    <w:rsid w:val="00515D9A"/>
    <w:rsid w:val="00516CC3"/>
    <w:rsid w:val="00516D78"/>
    <w:rsid w:val="00517AC7"/>
    <w:rsid w:val="00520A5D"/>
    <w:rsid w:val="00520FD9"/>
    <w:rsid w:val="00521920"/>
    <w:rsid w:val="005222E3"/>
    <w:rsid w:val="0052270F"/>
    <w:rsid w:val="005247C2"/>
    <w:rsid w:val="005248B2"/>
    <w:rsid w:val="00525A4C"/>
    <w:rsid w:val="00526229"/>
    <w:rsid w:val="00527A56"/>
    <w:rsid w:val="00530196"/>
    <w:rsid w:val="0053020A"/>
    <w:rsid w:val="00532D9A"/>
    <w:rsid w:val="00532F70"/>
    <w:rsid w:val="00533108"/>
    <w:rsid w:val="00535773"/>
    <w:rsid w:val="00535AA4"/>
    <w:rsid w:val="0053714F"/>
    <w:rsid w:val="0053787C"/>
    <w:rsid w:val="00537C63"/>
    <w:rsid w:val="00541436"/>
    <w:rsid w:val="005426E9"/>
    <w:rsid w:val="00542A8D"/>
    <w:rsid w:val="005438D5"/>
    <w:rsid w:val="0054669C"/>
    <w:rsid w:val="005502E4"/>
    <w:rsid w:val="00550752"/>
    <w:rsid w:val="005523B2"/>
    <w:rsid w:val="00554142"/>
    <w:rsid w:val="005545D3"/>
    <w:rsid w:val="00554708"/>
    <w:rsid w:val="0055516E"/>
    <w:rsid w:val="00555189"/>
    <w:rsid w:val="00556EC4"/>
    <w:rsid w:val="005603C9"/>
    <w:rsid w:val="005611AC"/>
    <w:rsid w:val="0056134A"/>
    <w:rsid w:val="00563A15"/>
    <w:rsid w:val="00563BCE"/>
    <w:rsid w:val="0056628A"/>
    <w:rsid w:val="00572F19"/>
    <w:rsid w:val="0057531F"/>
    <w:rsid w:val="00577B85"/>
    <w:rsid w:val="00577E5A"/>
    <w:rsid w:val="00581CA8"/>
    <w:rsid w:val="005828C8"/>
    <w:rsid w:val="005833C1"/>
    <w:rsid w:val="00584DCA"/>
    <w:rsid w:val="00585BC0"/>
    <w:rsid w:val="00586DA5"/>
    <w:rsid w:val="005908A3"/>
    <w:rsid w:val="00591D62"/>
    <w:rsid w:val="00594DED"/>
    <w:rsid w:val="00596950"/>
    <w:rsid w:val="005A1ECD"/>
    <w:rsid w:val="005A268D"/>
    <w:rsid w:val="005A39C2"/>
    <w:rsid w:val="005A5CF2"/>
    <w:rsid w:val="005B04A5"/>
    <w:rsid w:val="005B04D3"/>
    <w:rsid w:val="005B0B15"/>
    <w:rsid w:val="005B1086"/>
    <w:rsid w:val="005B247E"/>
    <w:rsid w:val="005B3712"/>
    <w:rsid w:val="005B3984"/>
    <w:rsid w:val="005B447E"/>
    <w:rsid w:val="005B49CF"/>
    <w:rsid w:val="005B6EBE"/>
    <w:rsid w:val="005C1616"/>
    <w:rsid w:val="005C1913"/>
    <w:rsid w:val="005C4907"/>
    <w:rsid w:val="005C630F"/>
    <w:rsid w:val="005C695D"/>
    <w:rsid w:val="005C6D26"/>
    <w:rsid w:val="005C70CE"/>
    <w:rsid w:val="005C7590"/>
    <w:rsid w:val="005D0C23"/>
    <w:rsid w:val="005D0E38"/>
    <w:rsid w:val="005D114A"/>
    <w:rsid w:val="005D1AEF"/>
    <w:rsid w:val="005D45E6"/>
    <w:rsid w:val="005D6A4B"/>
    <w:rsid w:val="005E0401"/>
    <w:rsid w:val="005E0BD6"/>
    <w:rsid w:val="005E6070"/>
    <w:rsid w:val="005E6104"/>
    <w:rsid w:val="005E6D0E"/>
    <w:rsid w:val="005F074A"/>
    <w:rsid w:val="005F10AF"/>
    <w:rsid w:val="005F2A56"/>
    <w:rsid w:val="005F3006"/>
    <w:rsid w:val="005F50CE"/>
    <w:rsid w:val="00601582"/>
    <w:rsid w:val="00604691"/>
    <w:rsid w:val="00605202"/>
    <w:rsid w:val="006059C8"/>
    <w:rsid w:val="00605EE6"/>
    <w:rsid w:val="0060622C"/>
    <w:rsid w:val="00606EE1"/>
    <w:rsid w:val="00610462"/>
    <w:rsid w:val="00611480"/>
    <w:rsid w:val="006115FB"/>
    <w:rsid w:val="00611BFB"/>
    <w:rsid w:val="00612FC0"/>
    <w:rsid w:val="0061513D"/>
    <w:rsid w:val="006163CE"/>
    <w:rsid w:val="0062147C"/>
    <w:rsid w:val="00621678"/>
    <w:rsid w:val="00624654"/>
    <w:rsid w:val="00626823"/>
    <w:rsid w:val="006314A1"/>
    <w:rsid w:val="00631F32"/>
    <w:rsid w:val="006330EB"/>
    <w:rsid w:val="00633690"/>
    <w:rsid w:val="006350C3"/>
    <w:rsid w:val="006401B9"/>
    <w:rsid w:val="006415ED"/>
    <w:rsid w:val="00642344"/>
    <w:rsid w:val="00644A86"/>
    <w:rsid w:val="00645ECF"/>
    <w:rsid w:val="00650E29"/>
    <w:rsid w:val="00651483"/>
    <w:rsid w:val="00653198"/>
    <w:rsid w:val="00654729"/>
    <w:rsid w:val="00655E2A"/>
    <w:rsid w:val="006566E2"/>
    <w:rsid w:val="0066075D"/>
    <w:rsid w:val="00660877"/>
    <w:rsid w:val="00661A97"/>
    <w:rsid w:val="00663617"/>
    <w:rsid w:val="00663709"/>
    <w:rsid w:val="00663ADA"/>
    <w:rsid w:val="006675C5"/>
    <w:rsid w:val="006718D2"/>
    <w:rsid w:val="00672E32"/>
    <w:rsid w:val="00674572"/>
    <w:rsid w:val="006753D9"/>
    <w:rsid w:val="00675C69"/>
    <w:rsid w:val="00681170"/>
    <w:rsid w:val="00682D8C"/>
    <w:rsid w:val="00684592"/>
    <w:rsid w:val="00684D55"/>
    <w:rsid w:val="00687605"/>
    <w:rsid w:val="00687B05"/>
    <w:rsid w:val="006A0CA8"/>
    <w:rsid w:val="006A222B"/>
    <w:rsid w:val="006A3D56"/>
    <w:rsid w:val="006A4081"/>
    <w:rsid w:val="006A434E"/>
    <w:rsid w:val="006A5247"/>
    <w:rsid w:val="006A561E"/>
    <w:rsid w:val="006A5F1E"/>
    <w:rsid w:val="006A6EB0"/>
    <w:rsid w:val="006A77A3"/>
    <w:rsid w:val="006B1DC2"/>
    <w:rsid w:val="006B4EDB"/>
    <w:rsid w:val="006B6427"/>
    <w:rsid w:val="006B678B"/>
    <w:rsid w:val="006C083C"/>
    <w:rsid w:val="006C0C74"/>
    <w:rsid w:val="006C0E44"/>
    <w:rsid w:val="006C14FB"/>
    <w:rsid w:val="006C21AE"/>
    <w:rsid w:val="006C2DC6"/>
    <w:rsid w:val="006C2E40"/>
    <w:rsid w:val="006C30E7"/>
    <w:rsid w:val="006C5B6C"/>
    <w:rsid w:val="006C5DDA"/>
    <w:rsid w:val="006D0D56"/>
    <w:rsid w:val="006D0EC1"/>
    <w:rsid w:val="006D121A"/>
    <w:rsid w:val="006D4086"/>
    <w:rsid w:val="006E2F79"/>
    <w:rsid w:val="006E3C8D"/>
    <w:rsid w:val="006E3D9A"/>
    <w:rsid w:val="006E4152"/>
    <w:rsid w:val="006E4E42"/>
    <w:rsid w:val="006E5746"/>
    <w:rsid w:val="006F0507"/>
    <w:rsid w:val="006F4B8D"/>
    <w:rsid w:val="00700101"/>
    <w:rsid w:val="00701099"/>
    <w:rsid w:val="00701664"/>
    <w:rsid w:val="00702400"/>
    <w:rsid w:val="00703E01"/>
    <w:rsid w:val="0070454C"/>
    <w:rsid w:val="00704DC7"/>
    <w:rsid w:val="007066C4"/>
    <w:rsid w:val="00706BF2"/>
    <w:rsid w:val="00707543"/>
    <w:rsid w:val="00707C9F"/>
    <w:rsid w:val="00707F52"/>
    <w:rsid w:val="00711273"/>
    <w:rsid w:val="00711844"/>
    <w:rsid w:val="007133BA"/>
    <w:rsid w:val="00713EDE"/>
    <w:rsid w:val="007154DF"/>
    <w:rsid w:val="00717E21"/>
    <w:rsid w:val="007200EE"/>
    <w:rsid w:val="00720806"/>
    <w:rsid w:val="0072126D"/>
    <w:rsid w:val="007215A4"/>
    <w:rsid w:val="0072221C"/>
    <w:rsid w:val="007231BA"/>
    <w:rsid w:val="00724884"/>
    <w:rsid w:val="00725716"/>
    <w:rsid w:val="00727326"/>
    <w:rsid w:val="00733153"/>
    <w:rsid w:val="0073414C"/>
    <w:rsid w:val="00734EDA"/>
    <w:rsid w:val="0073594D"/>
    <w:rsid w:val="007365DE"/>
    <w:rsid w:val="00736CE4"/>
    <w:rsid w:val="0073729B"/>
    <w:rsid w:val="0074018B"/>
    <w:rsid w:val="00744328"/>
    <w:rsid w:val="00744B06"/>
    <w:rsid w:val="00747965"/>
    <w:rsid w:val="00747A6E"/>
    <w:rsid w:val="00747FB1"/>
    <w:rsid w:val="007515F0"/>
    <w:rsid w:val="00755B29"/>
    <w:rsid w:val="007568E1"/>
    <w:rsid w:val="007614CC"/>
    <w:rsid w:val="00761657"/>
    <w:rsid w:val="00761A6E"/>
    <w:rsid w:val="00761BE3"/>
    <w:rsid w:val="00761BFE"/>
    <w:rsid w:val="00762D88"/>
    <w:rsid w:val="00764D32"/>
    <w:rsid w:val="00765B6A"/>
    <w:rsid w:val="00767028"/>
    <w:rsid w:val="00770E29"/>
    <w:rsid w:val="00773C8D"/>
    <w:rsid w:val="00780B11"/>
    <w:rsid w:val="00780B76"/>
    <w:rsid w:val="007810F8"/>
    <w:rsid w:val="00782E2F"/>
    <w:rsid w:val="00784BA5"/>
    <w:rsid w:val="00784C1E"/>
    <w:rsid w:val="00784E50"/>
    <w:rsid w:val="00786030"/>
    <w:rsid w:val="0078653E"/>
    <w:rsid w:val="00786876"/>
    <w:rsid w:val="00787EF3"/>
    <w:rsid w:val="00790B45"/>
    <w:rsid w:val="007937EB"/>
    <w:rsid w:val="00793D60"/>
    <w:rsid w:val="007945C0"/>
    <w:rsid w:val="007949E5"/>
    <w:rsid w:val="00794BC8"/>
    <w:rsid w:val="007A5C27"/>
    <w:rsid w:val="007A5CA4"/>
    <w:rsid w:val="007A65D3"/>
    <w:rsid w:val="007B0FE1"/>
    <w:rsid w:val="007B2319"/>
    <w:rsid w:val="007B273D"/>
    <w:rsid w:val="007B4E5F"/>
    <w:rsid w:val="007B51D9"/>
    <w:rsid w:val="007B602C"/>
    <w:rsid w:val="007B619D"/>
    <w:rsid w:val="007C27EB"/>
    <w:rsid w:val="007D21BE"/>
    <w:rsid w:val="007D2410"/>
    <w:rsid w:val="007D34CE"/>
    <w:rsid w:val="007D3D61"/>
    <w:rsid w:val="007E2DA3"/>
    <w:rsid w:val="007E3ECA"/>
    <w:rsid w:val="007E4E15"/>
    <w:rsid w:val="007E6AE2"/>
    <w:rsid w:val="007F15D9"/>
    <w:rsid w:val="007F1D24"/>
    <w:rsid w:val="007F3D76"/>
    <w:rsid w:val="007F6CCB"/>
    <w:rsid w:val="0080296C"/>
    <w:rsid w:val="008057BA"/>
    <w:rsid w:val="00806996"/>
    <w:rsid w:val="00807712"/>
    <w:rsid w:val="00810731"/>
    <w:rsid w:val="008116F3"/>
    <w:rsid w:val="00811B18"/>
    <w:rsid w:val="00814AE9"/>
    <w:rsid w:val="00814C04"/>
    <w:rsid w:val="0081675A"/>
    <w:rsid w:val="00816DA3"/>
    <w:rsid w:val="00816E27"/>
    <w:rsid w:val="00816E2B"/>
    <w:rsid w:val="00817729"/>
    <w:rsid w:val="008206AD"/>
    <w:rsid w:val="00821FFE"/>
    <w:rsid w:val="00822DEB"/>
    <w:rsid w:val="00823CBE"/>
    <w:rsid w:val="0082592C"/>
    <w:rsid w:val="00827F9F"/>
    <w:rsid w:val="00831C63"/>
    <w:rsid w:val="00832A6A"/>
    <w:rsid w:val="008335CE"/>
    <w:rsid w:val="00833D87"/>
    <w:rsid w:val="0083482B"/>
    <w:rsid w:val="00835765"/>
    <w:rsid w:val="00837534"/>
    <w:rsid w:val="00837D13"/>
    <w:rsid w:val="00837FC5"/>
    <w:rsid w:val="00840B59"/>
    <w:rsid w:val="0084146E"/>
    <w:rsid w:val="008416BA"/>
    <w:rsid w:val="00843BA1"/>
    <w:rsid w:val="008445D8"/>
    <w:rsid w:val="0084551E"/>
    <w:rsid w:val="00845BFC"/>
    <w:rsid w:val="00847879"/>
    <w:rsid w:val="00850897"/>
    <w:rsid w:val="00852105"/>
    <w:rsid w:val="0085259F"/>
    <w:rsid w:val="008545C2"/>
    <w:rsid w:val="0085484E"/>
    <w:rsid w:val="008549F1"/>
    <w:rsid w:val="00854F9C"/>
    <w:rsid w:val="008568A8"/>
    <w:rsid w:val="00857445"/>
    <w:rsid w:val="00861E52"/>
    <w:rsid w:val="008632E7"/>
    <w:rsid w:val="008637D9"/>
    <w:rsid w:val="00864357"/>
    <w:rsid w:val="008643E1"/>
    <w:rsid w:val="008705F1"/>
    <w:rsid w:val="008719A0"/>
    <w:rsid w:val="00871B8D"/>
    <w:rsid w:val="00872414"/>
    <w:rsid w:val="00874992"/>
    <w:rsid w:val="00875D80"/>
    <w:rsid w:val="008763D5"/>
    <w:rsid w:val="00876471"/>
    <w:rsid w:val="00876AD6"/>
    <w:rsid w:val="008839A8"/>
    <w:rsid w:val="008843A0"/>
    <w:rsid w:val="008847E8"/>
    <w:rsid w:val="00885656"/>
    <w:rsid w:val="00885AC9"/>
    <w:rsid w:val="008911BF"/>
    <w:rsid w:val="00891391"/>
    <w:rsid w:val="0089242D"/>
    <w:rsid w:val="00892C0C"/>
    <w:rsid w:val="008960D8"/>
    <w:rsid w:val="008A1E5E"/>
    <w:rsid w:val="008A4FEE"/>
    <w:rsid w:val="008A5B7C"/>
    <w:rsid w:val="008A769C"/>
    <w:rsid w:val="008B0795"/>
    <w:rsid w:val="008B153E"/>
    <w:rsid w:val="008B47E7"/>
    <w:rsid w:val="008B517A"/>
    <w:rsid w:val="008B6627"/>
    <w:rsid w:val="008B6806"/>
    <w:rsid w:val="008C2302"/>
    <w:rsid w:val="008C3B66"/>
    <w:rsid w:val="008C3CB8"/>
    <w:rsid w:val="008C44EE"/>
    <w:rsid w:val="008C50BC"/>
    <w:rsid w:val="008C76BD"/>
    <w:rsid w:val="008C7B74"/>
    <w:rsid w:val="008D0A8C"/>
    <w:rsid w:val="008D4B23"/>
    <w:rsid w:val="008D63ED"/>
    <w:rsid w:val="008D67BA"/>
    <w:rsid w:val="008D7959"/>
    <w:rsid w:val="008E00ED"/>
    <w:rsid w:val="008E1FD8"/>
    <w:rsid w:val="008E39AC"/>
    <w:rsid w:val="008E4FC0"/>
    <w:rsid w:val="008E539F"/>
    <w:rsid w:val="008E6913"/>
    <w:rsid w:val="008E7BB7"/>
    <w:rsid w:val="008E7E30"/>
    <w:rsid w:val="008E7F92"/>
    <w:rsid w:val="008F0FB2"/>
    <w:rsid w:val="008F1D9E"/>
    <w:rsid w:val="008F3D66"/>
    <w:rsid w:val="008F4B14"/>
    <w:rsid w:val="008F4F7B"/>
    <w:rsid w:val="008F5E67"/>
    <w:rsid w:val="008F70D2"/>
    <w:rsid w:val="00900173"/>
    <w:rsid w:val="0090062D"/>
    <w:rsid w:val="009015B5"/>
    <w:rsid w:val="009019F7"/>
    <w:rsid w:val="00903B44"/>
    <w:rsid w:val="009051F1"/>
    <w:rsid w:val="009071FA"/>
    <w:rsid w:val="00907667"/>
    <w:rsid w:val="00907A47"/>
    <w:rsid w:val="00910A39"/>
    <w:rsid w:val="00912F39"/>
    <w:rsid w:val="00914446"/>
    <w:rsid w:val="00915547"/>
    <w:rsid w:val="0092057E"/>
    <w:rsid w:val="00920F88"/>
    <w:rsid w:val="009238B0"/>
    <w:rsid w:val="009265F8"/>
    <w:rsid w:val="00927C84"/>
    <w:rsid w:val="0093316C"/>
    <w:rsid w:val="00933828"/>
    <w:rsid w:val="0093498C"/>
    <w:rsid w:val="00936D40"/>
    <w:rsid w:val="00937AD7"/>
    <w:rsid w:val="00937FAE"/>
    <w:rsid w:val="00940A9F"/>
    <w:rsid w:val="00940F8F"/>
    <w:rsid w:val="00941284"/>
    <w:rsid w:val="00942A7F"/>
    <w:rsid w:val="00943296"/>
    <w:rsid w:val="009454AB"/>
    <w:rsid w:val="009456A7"/>
    <w:rsid w:val="009456B4"/>
    <w:rsid w:val="0094733F"/>
    <w:rsid w:val="0095049E"/>
    <w:rsid w:val="00950D67"/>
    <w:rsid w:val="00951F0D"/>
    <w:rsid w:val="00953B7D"/>
    <w:rsid w:val="00954D25"/>
    <w:rsid w:val="00955356"/>
    <w:rsid w:val="00955AAB"/>
    <w:rsid w:val="00955E45"/>
    <w:rsid w:val="0095718F"/>
    <w:rsid w:val="0095735B"/>
    <w:rsid w:val="009602BB"/>
    <w:rsid w:val="00960493"/>
    <w:rsid w:val="00961EE4"/>
    <w:rsid w:val="009633C0"/>
    <w:rsid w:val="00964590"/>
    <w:rsid w:val="00967240"/>
    <w:rsid w:val="00970204"/>
    <w:rsid w:val="00971093"/>
    <w:rsid w:val="0097147C"/>
    <w:rsid w:val="0097290B"/>
    <w:rsid w:val="009731AC"/>
    <w:rsid w:val="00976753"/>
    <w:rsid w:val="0097706E"/>
    <w:rsid w:val="00977493"/>
    <w:rsid w:val="00981A99"/>
    <w:rsid w:val="009822D8"/>
    <w:rsid w:val="00982F5F"/>
    <w:rsid w:val="0098361D"/>
    <w:rsid w:val="009856C1"/>
    <w:rsid w:val="00986034"/>
    <w:rsid w:val="00987EC0"/>
    <w:rsid w:val="0099233F"/>
    <w:rsid w:val="0099240A"/>
    <w:rsid w:val="0099320A"/>
    <w:rsid w:val="00994704"/>
    <w:rsid w:val="0099536D"/>
    <w:rsid w:val="00995BA0"/>
    <w:rsid w:val="009A05DF"/>
    <w:rsid w:val="009A063F"/>
    <w:rsid w:val="009A0B92"/>
    <w:rsid w:val="009A10EB"/>
    <w:rsid w:val="009A17F8"/>
    <w:rsid w:val="009A2271"/>
    <w:rsid w:val="009A35AB"/>
    <w:rsid w:val="009A3945"/>
    <w:rsid w:val="009A63F0"/>
    <w:rsid w:val="009A7C49"/>
    <w:rsid w:val="009B29B4"/>
    <w:rsid w:val="009B3B93"/>
    <w:rsid w:val="009B6C15"/>
    <w:rsid w:val="009C0130"/>
    <w:rsid w:val="009C0149"/>
    <w:rsid w:val="009C02B4"/>
    <w:rsid w:val="009C049B"/>
    <w:rsid w:val="009C0CF5"/>
    <w:rsid w:val="009C13E1"/>
    <w:rsid w:val="009C35E4"/>
    <w:rsid w:val="009C4279"/>
    <w:rsid w:val="009C4F8C"/>
    <w:rsid w:val="009C53F8"/>
    <w:rsid w:val="009D12DE"/>
    <w:rsid w:val="009D4592"/>
    <w:rsid w:val="009D7641"/>
    <w:rsid w:val="009D776A"/>
    <w:rsid w:val="009E0261"/>
    <w:rsid w:val="009E235E"/>
    <w:rsid w:val="009E244D"/>
    <w:rsid w:val="009E2AFE"/>
    <w:rsid w:val="009E355D"/>
    <w:rsid w:val="009E35A3"/>
    <w:rsid w:val="009E597F"/>
    <w:rsid w:val="009E6054"/>
    <w:rsid w:val="009F05B4"/>
    <w:rsid w:val="009F2EF8"/>
    <w:rsid w:val="009F3963"/>
    <w:rsid w:val="009F4D59"/>
    <w:rsid w:val="009F6165"/>
    <w:rsid w:val="009F6BDD"/>
    <w:rsid w:val="009F74A2"/>
    <w:rsid w:val="00A004E4"/>
    <w:rsid w:val="00A00D4B"/>
    <w:rsid w:val="00A020B6"/>
    <w:rsid w:val="00A04704"/>
    <w:rsid w:val="00A06200"/>
    <w:rsid w:val="00A062E7"/>
    <w:rsid w:val="00A066D9"/>
    <w:rsid w:val="00A0739A"/>
    <w:rsid w:val="00A07D17"/>
    <w:rsid w:val="00A10B62"/>
    <w:rsid w:val="00A10F27"/>
    <w:rsid w:val="00A12F1B"/>
    <w:rsid w:val="00A13D8F"/>
    <w:rsid w:val="00A1583A"/>
    <w:rsid w:val="00A207FF"/>
    <w:rsid w:val="00A22266"/>
    <w:rsid w:val="00A23925"/>
    <w:rsid w:val="00A254E6"/>
    <w:rsid w:val="00A268CE"/>
    <w:rsid w:val="00A27B30"/>
    <w:rsid w:val="00A3096A"/>
    <w:rsid w:val="00A30D3A"/>
    <w:rsid w:val="00A312D9"/>
    <w:rsid w:val="00A31D26"/>
    <w:rsid w:val="00A32DFE"/>
    <w:rsid w:val="00A33009"/>
    <w:rsid w:val="00A33034"/>
    <w:rsid w:val="00A33FB7"/>
    <w:rsid w:val="00A34D10"/>
    <w:rsid w:val="00A34E31"/>
    <w:rsid w:val="00A36779"/>
    <w:rsid w:val="00A40D93"/>
    <w:rsid w:val="00A40EE5"/>
    <w:rsid w:val="00A41C52"/>
    <w:rsid w:val="00A52712"/>
    <w:rsid w:val="00A52D02"/>
    <w:rsid w:val="00A544AD"/>
    <w:rsid w:val="00A564B2"/>
    <w:rsid w:val="00A607DB"/>
    <w:rsid w:val="00A76647"/>
    <w:rsid w:val="00A8043A"/>
    <w:rsid w:val="00A805A6"/>
    <w:rsid w:val="00A86F08"/>
    <w:rsid w:val="00A911ED"/>
    <w:rsid w:val="00A955CF"/>
    <w:rsid w:val="00A9585E"/>
    <w:rsid w:val="00A95E85"/>
    <w:rsid w:val="00A9662A"/>
    <w:rsid w:val="00A96671"/>
    <w:rsid w:val="00A970C7"/>
    <w:rsid w:val="00AA0344"/>
    <w:rsid w:val="00AA0F0E"/>
    <w:rsid w:val="00AA208A"/>
    <w:rsid w:val="00AA21E1"/>
    <w:rsid w:val="00AA4050"/>
    <w:rsid w:val="00AA40A5"/>
    <w:rsid w:val="00AA4C2A"/>
    <w:rsid w:val="00AA63DC"/>
    <w:rsid w:val="00AB511C"/>
    <w:rsid w:val="00AB5BF9"/>
    <w:rsid w:val="00AC0E28"/>
    <w:rsid w:val="00AC1182"/>
    <w:rsid w:val="00AC12D4"/>
    <w:rsid w:val="00AC2295"/>
    <w:rsid w:val="00AC4117"/>
    <w:rsid w:val="00AC4669"/>
    <w:rsid w:val="00AC5502"/>
    <w:rsid w:val="00AC7737"/>
    <w:rsid w:val="00AD0167"/>
    <w:rsid w:val="00AD1538"/>
    <w:rsid w:val="00AD3C0F"/>
    <w:rsid w:val="00AD3C1D"/>
    <w:rsid w:val="00AD60F6"/>
    <w:rsid w:val="00AD6299"/>
    <w:rsid w:val="00AD7C69"/>
    <w:rsid w:val="00AD7D7B"/>
    <w:rsid w:val="00AE02C7"/>
    <w:rsid w:val="00AE0BE3"/>
    <w:rsid w:val="00AE33DF"/>
    <w:rsid w:val="00AE7D7B"/>
    <w:rsid w:val="00AF0175"/>
    <w:rsid w:val="00AF19C8"/>
    <w:rsid w:val="00AF1CE7"/>
    <w:rsid w:val="00AF1E15"/>
    <w:rsid w:val="00AF25DF"/>
    <w:rsid w:val="00AF3A53"/>
    <w:rsid w:val="00AF43CB"/>
    <w:rsid w:val="00AF4636"/>
    <w:rsid w:val="00AF5FBD"/>
    <w:rsid w:val="00AF6426"/>
    <w:rsid w:val="00AF6D11"/>
    <w:rsid w:val="00AF7324"/>
    <w:rsid w:val="00AF7DF7"/>
    <w:rsid w:val="00B006EA"/>
    <w:rsid w:val="00B008B8"/>
    <w:rsid w:val="00B0090E"/>
    <w:rsid w:val="00B029B9"/>
    <w:rsid w:val="00B02D6F"/>
    <w:rsid w:val="00B03BFE"/>
    <w:rsid w:val="00B03DB2"/>
    <w:rsid w:val="00B04868"/>
    <w:rsid w:val="00B04D63"/>
    <w:rsid w:val="00B06234"/>
    <w:rsid w:val="00B10BD6"/>
    <w:rsid w:val="00B10E09"/>
    <w:rsid w:val="00B11491"/>
    <w:rsid w:val="00B11C1B"/>
    <w:rsid w:val="00B122CB"/>
    <w:rsid w:val="00B13FC4"/>
    <w:rsid w:val="00B1434E"/>
    <w:rsid w:val="00B1488C"/>
    <w:rsid w:val="00B14ECB"/>
    <w:rsid w:val="00B1535D"/>
    <w:rsid w:val="00B157F6"/>
    <w:rsid w:val="00B15E84"/>
    <w:rsid w:val="00B168BA"/>
    <w:rsid w:val="00B208FB"/>
    <w:rsid w:val="00B251EE"/>
    <w:rsid w:val="00B262D3"/>
    <w:rsid w:val="00B276CC"/>
    <w:rsid w:val="00B30AB8"/>
    <w:rsid w:val="00B30DF2"/>
    <w:rsid w:val="00B31115"/>
    <w:rsid w:val="00B33373"/>
    <w:rsid w:val="00B33455"/>
    <w:rsid w:val="00B347DA"/>
    <w:rsid w:val="00B35D3A"/>
    <w:rsid w:val="00B42EE5"/>
    <w:rsid w:val="00B42F34"/>
    <w:rsid w:val="00B44041"/>
    <w:rsid w:val="00B4659B"/>
    <w:rsid w:val="00B50ED1"/>
    <w:rsid w:val="00B52A86"/>
    <w:rsid w:val="00B53B43"/>
    <w:rsid w:val="00B56634"/>
    <w:rsid w:val="00B612A7"/>
    <w:rsid w:val="00B614B8"/>
    <w:rsid w:val="00B61CA1"/>
    <w:rsid w:val="00B62A95"/>
    <w:rsid w:val="00B62C96"/>
    <w:rsid w:val="00B637D3"/>
    <w:rsid w:val="00B6410C"/>
    <w:rsid w:val="00B64AAB"/>
    <w:rsid w:val="00B6689E"/>
    <w:rsid w:val="00B67C96"/>
    <w:rsid w:val="00B70527"/>
    <w:rsid w:val="00B707CB"/>
    <w:rsid w:val="00B71BED"/>
    <w:rsid w:val="00B742F7"/>
    <w:rsid w:val="00B7434F"/>
    <w:rsid w:val="00B745F2"/>
    <w:rsid w:val="00B76C8D"/>
    <w:rsid w:val="00B804E1"/>
    <w:rsid w:val="00B81CFB"/>
    <w:rsid w:val="00B8234C"/>
    <w:rsid w:val="00B837C2"/>
    <w:rsid w:val="00B83DAD"/>
    <w:rsid w:val="00B84BAC"/>
    <w:rsid w:val="00B865A7"/>
    <w:rsid w:val="00B87CF6"/>
    <w:rsid w:val="00B91867"/>
    <w:rsid w:val="00B91B2F"/>
    <w:rsid w:val="00B91E44"/>
    <w:rsid w:val="00B9275E"/>
    <w:rsid w:val="00B93086"/>
    <w:rsid w:val="00B937C0"/>
    <w:rsid w:val="00B93F2D"/>
    <w:rsid w:val="00B945AD"/>
    <w:rsid w:val="00B95870"/>
    <w:rsid w:val="00B9596F"/>
    <w:rsid w:val="00B975E6"/>
    <w:rsid w:val="00BA09A0"/>
    <w:rsid w:val="00BA1AC1"/>
    <w:rsid w:val="00BA2416"/>
    <w:rsid w:val="00BA2747"/>
    <w:rsid w:val="00BA2A0B"/>
    <w:rsid w:val="00BA32B7"/>
    <w:rsid w:val="00BA40E1"/>
    <w:rsid w:val="00BA5E5E"/>
    <w:rsid w:val="00BB077E"/>
    <w:rsid w:val="00BB0DDA"/>
    <w:rsid w:val="00BB0F9F"/>
    <w:rsid w:val="00BB1F23"/>
    <w:rsid w:val="00BB35D6"/>
    <w:rsid w:val="00BB39B0"/>
    <w:rsid w:val="00BB3C96"/>
    <w:rsid w:val="00BB4C69"/>
    <w:rsid w:val="00BB5EFE"/>
    <w:rsid w:val="00BC16F8"/>
    <w:rsid w:val="00BC1C2B"/>
    <w:rsid w:val="00BC206F"/>
    <w:rsid w:val="00BC27C9"/>
    <w:rsid w:val="00BC2F82"/>
    <w:rsid w:val="00BC32E4"/>
    <w:rsid w:val="00BC6CEB"/>
    <w:rsid w:val="00BD004A"/>
    <w:rsid w:val="00BD032A"/>
    <w:rsid w:val="00BD102E"/>
    <w:rsid w:val="00BD23E5"/>
    <w:rsid w:val="00BD79B7"/>
    <w:rsid w:val="00BE0244"/>
    <w:rsid w:val="00BE2381"/>
    <w:rsid w:val="00BE509D"/>
    <w:rsid w:val="00BE5CDD"/>
    <w:rsid w:val="00BF0545"/>
    <w:rsid w:val="00BF0725"/>
    <w:rsid w:val="00BF170F"/>
    <w:rsid w:val="00BF19E3"/>
    <w:rsid w:val="00BF1D70"/>
    <w:rsid w:val="00BF28B6"/>
    <w:rsid w:val="00BF40CC"/>
    <w:rsid w:val="00BF5DFA"/>
    <w:rsid w:val="00C01CF6"/>
    <w:rsid w:val="00C04B26"/>
    <w:rsid w:val="00C05C96"/>
    <w:rsid w:val="00C062DF"/>
    <w:rsid w:val="00C1014B"/>
    <w:rsid w:val="00C10E3D"/>
    <w:rsid w:val="00C11455"/>
    <w:rsid w:val="00C1163E"/>
    <w:rsid w:val="00C11905"/>
    <w:rsid w:val="00C11D0C"/>
    <w:rsid w:val="00C1216C"/>
    <w:rsid w:val="00C15BC7"/>
    <w:rsid w:val="00C16146"/>
    <w:rsid w:val="00C1672A"/>
    <w:rsid w:val="00C17F17"/>
    <w:rsid w:val="00C240DD"/>
    <w:rsid w:val="00C247B6"/>
    <w:rsid w:val="00C25AC4"/>
    <w:rsid w:val="00C26719"/>
    <w:rsid w:val="00C271EE"/>
    <w:rsid w:val="00C274BA"/>
    <w:rsid w:val="00C30362"/>
    <w:rsid w:val="00C308B6"/>
    <w:rsid w:val="00C32C00"/>
    <w:rsid w:val="00C345BD"/>
    <w:rsid w:val="00C356EC"/>
    <w:rsid w:val="00C40422"/>
    <w:rsid w:val="00C423D5"/>
    <w:rsid w:val="00C43035"/>
    <w:rsid w:val="00C43041"/>
    <w:rsid w:val="00C43B05"/>
    <w:rsid w:val="00C43CB7"/>
    <w:rsid w:val="00C43CEE"/>
    <w:rsid w:val="00C44270"/>
    <w:rsid w:val="00C45AB4"/>
    <w:rsid w:val="00C45E45"/>
    <w:rsid w:val="00C46706"/>
    <w:rsid w:val="00C46F91"/>
    <w:rsid w:val="00C472AF"/>
    <w:rsid w:val="00C47350"/>
    <w:rsid w:val="00C47FE9"/>
    <w:rsid w:val="00C501D9"/>
    <w:rsid w:val="00C50D41"/>
    <w:rsid w:val="00C510F9"/>
    <w:rsid w:val="00C51E1F"/>
    <w:rsid w:val="00C51E40"/>
    <w:rsid w:val="00C55AC4"/>
    <w:rsid w:val="00C56E96"/>
    <w:rsid w:val="00C62A10"/>
    <w:rsid w:val="00C62CB2"/>
    <w:rsid w:val="00C63BF1"/>
    <w:rsid w:val="00C63DB6"/>
    <w:rsid w:val="00C66E6E"/>
    <w:rsid w:val="00C70131"/>
    <w:rsid w:val="00C72337"/>
    <w:rsid w:val="00C73747"/>
    <w:rsid w:val="00C74773"/>
    <w:rsid w:val="00C75517"/>
    <w:rsid w:val="00C759F0"/>
    <w:rsid w:val="00C76DA6"/>
    <w:rsid w:val="00C807B6"/>
    <w:rsid w:val="00C8198C"/>
    <w:rsid w:val="00C8455E"/>
    <w:rsid w:val="00C90682"/>
    <w:rsid w:val="00C9071A"/>
    <w:rsid w:val="00C911D6"/>
    <w:rsid w:val="00C9606D"/>
    <w:rsid w:val="00C96CD0"/>
    <w:rsid w:val="00CA0257"/>
    <w:rsid w:val="00CA35CA"/>
    <w:rsid w:val="00CA3A4A"/>
    <w:rsid w:val="00CA4699"/>
    <w:rsid w:val="00CA4DDF"/>
    <w:rsid w:val="00CA590E"/>
    <w:rsid w:val="00CA64C6"/>
    <w:rsid w:val="00CB12B3"/>
    <w:rsid w:val="00CB1847"/>
    <w:rsid w:val="00CB1B64"/>
    <w:rsid w:val="00CB1FC2"/>
    <w:rsid w:val="00CB4080"/>
    <w:rsid w:val="00CB4E98"/>
    <w:rsid w:val="00CB57D4"/>
    <w:rsid w:val="00CB6056"/>
    <w:rsid w:val="00CB630F"/>
    <w:rsid w:val="00CB70E3"/>
    <w:rsid w:val="00CC108C"/>
    <w:rsid w:val="00CC2185"/>
    <w:rsid w:val="00CC383F"/>
    <w:rsid w:val="00CC3CAD"/>
    <w:rsid w:val="00CC52BC"/>
    <w:rsid w:val="00CC62E7"/>
    <w:rsid w:val="00CC6CEF"/>
    <w:rsid w:val="00CD1800"/>
    <w:rsid w:val="00CD1A4D"/>
    <w:rsid w:val="00CD3E70"/>
    <w:rsid w:val="00CD5FD0"/>
    <w:rsid w:val="00CD7830"/>
    <w:rsid w:val="00CE0AB4"/>
    <w:rsid w:val="00CE0C82"/>
    <w:rsid w:val="00CE17A4"/>
    <w:rsid w:val="00CE1D8D"/>
    <w:rsid w:val="00CE2128"/>
    <w:rsid w:val="00CE4E22"/>
    <w:rsid w:val="00CE5F19"/>
    <w:rsid w:val="00CE702D"/>
    <w:rsid w:val="00CF3DB9"/>
    <w:rsid w:val="00CF473C"/>
    <w:rsid w:val="00CF7594"/>
    <w:rsid w:val="00D005AC"/>
    <w:rsid w:val="00D00769"/>
    <w:rsid w:val="00D009DA"/>
    <w:rsid w:val="00D01391"/>
    <w:rsid w:val="00D019F9"/>
    <w:rsid w:val="00D01FC9"/>
    <w:rsid w:val="00D0261C"/>
    <w:rsid w:val="00D03C6E"/>
    <w:rsid w:val="00D06103"/>
    <w:rsid w:val="00D07AB9"/>
    <w:rsid w:val="00D07BAB"/>
    <w:rsid w:val="00D07CC3"/>
    <w:rsid w:val="00D107D9"/>
    <w:rsid w:val="00D10D12"/>
    <w:rsid w:val="00D12700"/>
    <w:rsid w:val="00D13CB1"/>
    <w:rsid w:val="00D145EC"/>
    <w:rsid w:val="00D166AC"/>
    <w:rsid w:val="00D20CDE"/>
    <w:rsid w:val="00D2254B"/>
    <w:rsid w:val="00D229DF"/>
    <w:rsid w:val="00D230D3"/>
    <w:rsid w:val="00D25529"/>
    <w:rsid w:val="00D25735"/>
    <w:rsid w:val="00D25BF5"/>
    <w:rsid w:val="00D30048"/>
    <w:rsid w:val="00D303CC"/>
    <w:rsid w:val="00D3068D"/>
    <w:rsid w:val="00D30821"/>
    <w:rsid w:val="00D321FB"/>
    <w:rsid w:val="00D351A7"/>
    <w:rsid w:val="00D35462"/>
    <w:rsid w:val="00D40682"/>
    <w:rsid w:val="00D41C65"/>
    <w:rsid w:val="00D426A3"/>
    <w:rsid w:val="00D44E08"/>
    <w:rsid w:val="00D45477"/>
    <w:rsid w:val="00D47855"/>
    <w:rsid w:val="00D50A1E"/>
    <w:rsid w:val="00D52449"/>
    <w:rsid w:val="00D538E4"/>
    <w:rsid w:val="00D5452B"/>
    <w:rsid w:val="00D574DB"/>
    <w:rsid w:val="00D602DA"/>
    <w:rsid w:val="00D604EB"/>
    <w:rsid w:val="00D6202C"/>
    <w:rsid w:val="00D620A7"/>
    <w:rsid w:val="00D62794"/>
    <w:rsid w:val="00D643FE"/>
    <w:rsid w:val="00D651D7"/>
    <w:rsid w:val="00D65E95"/>
    <w:rsid w:val="00D66FFB"/>
    <w:rsid w:val="00D717FA"/>
    <w:rsid w:val="00D72064"/>
    <w:rsid w:val="00D72F6C"/>
    <w:rsid w:val="00D730D6"/>
    <w:rsid w:val="00D74C8A"/>
    <w:rsid w:val="00D77B7E"/>
    <w:rsid w:val="00D81D7A"/>
    <w:rsid w:val="00D82B7E"/>
    <w:rsid w:val="00D83C42"/>
    <w:rsid w:val="00D8416C"/>
    <w:rsid w:val="00D84E6C"/>
    <w:rsid w:val="00D84E6D"/>
    <w:rsid w:val="00D86341"/>
    <w:rsid w:val="00D86420"/>
    <w:rsid w:val="00D87029"/>
    <w:rsid w:val="00D90F11"/>
    <w:rsid w:val="00D919DE"/>
    <w:rsid w:val="00DA03D0"/>
    <w:rsid w:val="00DA0804"/>
    <w:rsid w:val="00DA0E5B"/>
    <w:rsid w:val="00DA1BC3"/>
    <w:rsid w:val="00DA54EC"/>
    <w:rsid w:val="00DA5614"/>
    <w:rsid w:val="00DA5D15"/>
    <w:rsid w:val="00DA5D7C"/>
    <w:rsid w:val="00DA7822"/>
    <w:rsid w:val="00DB0C84"/>
    <w:rsid w:val="00DB2D7E"/>
    <w:rsid w:val="00DC222A"/>
    <w:rsid w:val="00DC2B58"/>
    <w:rsid w:val="00DC6CD0"/>
    <w:rsid w:val="00DC6F68"/>
    <w:rsid w:val="00DC70C0"/>
    <w:rsid w:val="00DC77C9"/>
    <w:rsid w:val="00DD075C"/>
    <w:rsid w:val="00DD0C77"/>
    <w:rsid w:val="00DD3575"/>
    <w:rsid w:val="00DD3B8A"/>
    <w:rsid w:val="00DD406F"/>
    <w:rsid w:val="00DD5380"/>
    <w:rsid w:val="00DD53C8"/>
    <w:rsid w:val="00DD6135"/>
    <w:rsid w:val="00DE0206"/>
    <w:rsid w:val="00DE1AB9"/>
    <w:rsid w:val="00DE3AC8"/>
    <w:rsid w:val="00DE4065"/>
    <w:rsid w:val="00DE4723"/>
    <w:rsid w:val="00DE4D47"/>
    <w:rsid w:val="00DE60EA"/>
    <w:rsid w:val="00DE6A69"/>
    <w:rsid w:val="00DE70C1"/>
    <w:rsid w:val="00DF0C56"/>
    <w:rsid w:val="00DF1C18"/>
    <w:rsid w:val="00DF71AD"/>
    <w:rsid w:val="00E008EB"/>
    <w:rsid w:val="00E009AB"/>
    <w:rsid w:val="00E0161F"/>
    <w:rsid w:val="00E02B90"/>
    <w:rsid w:val="00E03402"/>
    <w:rsid w:val="00E0340D"/>
    <w:rsid w:val="00E03523"/>
    <w:rsid w:val="00E0353A"/>
    <w:rsid w:val="00E071FF"/>
    <w:rsid w:val="00E11195"/>
    <w:rsid w:val="00E13C63"/>
    <w:rsid w:val="00E13D09"/>
    <w:rsid w:val="00E14435"/>
    <w:rsid w:val="00E14E78"/>
    <w:rsid w:val="00E22592"/>
    <w:rsid w:val="00E22BD8"/>
    <w:rsid w:val="00E27D15"/>
    <w:rsid w:val="00E33150"/>
    <w:rsid w:val="00E33413"/>
    <w:rsid w:val="00E36417"/>
    <w:rsid w:val="00E37D1A"/>
    <w:rsid w:val="00E37EFC"/>
    <w:rsid w:val="00E45545"/>
    <w:rsid w:val="00E45AA9"/>
    <w:rsid w:val="00E467B3"/>
    <w:rsid w:val="00E468F9"/>
    <w:rsid w:val="00E46DB1"/>
    <w:rsid w:val="00E47DCC"/>
    <w:rsid w:val="00E50E0D"/>
    <w:rsid w:val="00E51CB3"/>
    <w:rsid w:val="00E5246A"/>
    <w:rsid w:val="00E52C53"/>
    <w:rsid w:val="00E52F1D"/>
    <w:rsid w:val="00E53EF1"/>
    <w:rsid w:val="00E54EEA"/>
    <w:rsid w:val="00E563DD"/>
    <w:rsid w:val="00E57B87"/>
    <w:rsid w:val="00E60B51"/>
    <w:rsid w:val="00E61569"/>
    <w:rsid w:val="00E615A3"/>
    <w:rsid w:val="00E642C8"/>
    <w:rsid w:val="00E6507C"/>
    <w:rsid w:val="00E65515"/>
    <w:rsid w:val="00E659C7"/>
    <w:rsid w:val="00E720D2"/>
    <w:rsid w:val="00E73233"/>
    <w:rsid w:val="00E74153"/>
    <w:rsid w:val="00E76463"/>
    <w:rsid w:val="00E806F1"/>
    <w:rsid w:val="00E81C94"/>
    <w:rsid w:val="00E825C0"/>
    <w:rsid w:val="00E83224"/>
    <w:rsid w:val="00E83683"/>
    <w:rsid w:val="00E84741"/>
    <w:rsid w:val="00E877F3"/>
    <w:rsid w:val="00E87AE2"/>
    <w:rsid w:val="00E90B71"/>
    <w:rsid w:val="00E9228B"/>
    <w:rsid w:val="00E93A3A"/>
    <w:rsid w:val="00E94F70"/>
    <w:rsid w:val="00E95A76"/>
    <w:rsid w:val="00E95FF3"/>
    <w:rsid w:val="00E96742"/>
    <w:rsid w:val="00E96B84"/>
    <w:rsid w:val="00E96E33"/>
    <w:rsid w:val="00E97288"/>
    <w:rsid w:val="00E976EF"/>
    <w:rsid w:val="00EA0845"/>
    <w:rsid w:val="00EA285A"/>
    <w:rsid w:val="00EA4529"/>
    <w:rsid w:val="00EA45CE"/>
    <w:rsid w:val="00EA6513"/>
    <w:rsid w:val="00EA7282"/>
    <w:rsid w:val="00EB0489"/>
    <w:rsid w:val="00EB1023"/>
    <w:rsid w:val="00EB2D0A"/>
    <w:rsid w:val="00EB3574"/>
    <w:rsid w:val="00EB4528"/>
    <w:rsid w:val="00EB5F3A"/>
    <w:rsid w:val="00EC050B"/>
    <w:rsid w:val="00EC0C02"/>
    <w:rsid w:val="00EC4BAD"/>
    <w:rsid w:val="00EC4C7E"/>
    <w:rsid w:val="00EC4ED8"/>
    <w:rsid w:val="00EC5724"/>
    <w:rsid w:val="00EC754A"/>
    <w:rsid w:val="00EC7782"/>
    <w:rsid w:val="00ED1F16"/>
    <w:rsid w:val="00ED3246"/>
    <w:rsid w:val="00ED448D"/>
    <w:rsid w:val="00ED76D1"/>
    <w:rsid w:val="00EE0BD4"/>
    <w:rsid w:val="00EE19FE"/>
    <w:rsid w:val="00EE21CF"/>
    <w:rsid w:val="00EE4EE2"/>
    <w:rsid w:val="00EE4F22"/>
    <w:rsid w:val="00EE6025"/>
    <w:rsid w:val="00EE6637"/>
    <w:rsid w:val="00EE764C"/>
    <w:rsid w:val="00EE7F46"/>
    <w:rsid w:val="00EF1081"/>
    <w:rsid w:val="00EF2EEF"/>
    <w:rsid w:val="00EF4446"/>
    <w:rsid w:val="00EF6226"/>
    <w:rsid w:val="00F024C1"/>
    <w:rsid w:val="00F03B7D"/>
    <w:rsid w:val="00F05DF6"/>
    <w:rsid w:val="00F075D8"/>
    <w:rsid w:val="00F07B54"/>
    <w:rsid w:val="00F10E29"/>
    <w:rsid w:val="00F117EA"/>
    <w:rsid w:val="00F149B1"/>
    <w:rsid w:val="00F15784"/>
    <w:rsid w:val="00F22DD8"/>
    <w:rsid w:val="00F27055"/>
    <w:rsid w:val="00F30BC8"/>
    <w:rsid w:val="00F31849"/>
    <w:rsid w:val="00F32C48"/>
    <w:rsid w:val="00F346F3"/>
    <w:rsid w:val="00F35486"/>
    <w:rsid w:val="00F3700B"/>
    <w:rsid w:val="00F40B00"/>
    <w:rsid w:val="00F40B6D"/>
    <w:rsid w:val="00F415A9"/>
    <w:rsid w:val="00F4370F"/>
    <w:rsid w:val="00F4589C"/>
    <w:rsid w:val="00F466ED"/>
    <w:rsid w:val="00F50910"/>
    <w:rsid w:val="00F51EF9"/>
    <w:rsid w:val="00F523C8"/>
    <w:rsid w:val="00F5276E"/>
    <w:rsid w:val="00F53DA5"/>
    <w:rsid w:val="00F54167"/>
    <w:rsid w:val="00F54C57"/>
    <w:rsid w:val="00F54E38"/>
    <w:rsid w:val="00F57118"/>
    <w:rsid w:val="00F6043A"/>
    <w:rsid w:val="00F60A7B"/>
    <w:rsid w:val="00F60F20"/>
    <w:rsid w:val="00F620C0"/>
    <w:rsid w:val="00F62531"/>
    <w:rsid w:val="00F62C52"/>
    <w:rsid w:val="00F64289"/>
    <w:rsid w:val="00F64B86"/>
    <w:rsid w:val="00F6613E"/>
    <w:rsid w:val="00F7262B"/>
    <w:rsid w:val="00F735B0"/>
    <w:rsid w:val="00F7546A"/>
    <w:rsid w:val="00F7666B"/>
    <w:rsid w:val="00F83E09"/>
    <w:rsid w:val="00F8431B"/>
    <w:rsid w:val="00F87372"/>
    <w:rsid w:val="00F923A1"/>
    <w:rsid w:val="00F94925"/>
    <w:rsid w:val="00F962E4"/>
    <w:rsid w:val="00F965CA"/>
    <w:rsid w:val="00FA02F7"/>
    <w:rsid w:val="00FA034F"/>
    <w:rsid w:val="00FA25DD"/>
    <w:rsid w:val="00FA2DD6"/>
    <w:rsid w:val="00FA3EC4"/>
    <w:rsid w:val="00FA59AA"/>
    <w:rsid w:val="00FA5F12"/>
    <w:rsid w:val="00FA7A87"/>
    <w:rsid w:val="00FB0634"/>
    <w:rsid w:val="00FB4A26"/>
    <w:rsid w:val="00FB634A"/>
    <w:rsid w:val="00FB64D0"/>
    <w:rsid w:val="00FB7AB2"/>
    <w:rsid w:val="00FC107B"/>
    <w:rsid w:val="00FC37D7"/>
    <w:rsid w:val="00FC419C"/>
    <w:rsid w:val="00FC7DFA"/>
    <w:rsid w:val="00FD14FC"/>
    <w:rsid w:val="00FD4981"/>
    <w:rsid w:val="00FD4B5C"/>
    <w:rsid w:val="00FD6BA5"/>
    <w:rsid w:val="00FD78D0"/>
    <w:rsid w:val="00FE0BC0"/>
    <w:rsid w:val="00FE11F5"/>
    <w:rsid w:val="00FE2D1F"/>
    <w:rsid w:val="00FE5568"/>
    <w:rsid w:val="00FE7874"/>
    <w:rsid w:val="00FE7B12"/>
    <w:rsid w:val="00FF322B"/>
    <w:rsid w:val="00FF5EA9"/>
    <w:rsid w:val="00FF6264"/>
    <w:rsid w:val="01102B42"/>
    <w:rsid w:val="0129236A"/>
    <w:rsid w:val="01387E81"/>
    <w:rsid w:val="01567D7F"/>
    <w:rsid w:val="01A244DA"/>
    <w:rsid w:val="01BF6895"/>
    <w:rsid w:val="01F73A5A"/>
    <w:rsid w:val="02160AF3"/>
    <w:rsid w:val="02870E59"/>
    <w:rsid w:val="02AA6221"/>
    <w:rsid w:val="02BC6221"/>
    <w:rsid w:val="02E344F4"/>
    <w:rsid w:val="02E61306"/>
    <w:rsid w:val="02EF4726"/>
    <w:rsid w:val="030C3D38"/>
    <w:rsid w:val="03130C04"/>
    <w:rsid w:val="03425E25"/>
    <w:rsid w:val="03726415"/>
    <w:rsid w:val="03A932A2"/>
    <w:rsid w:val="040F562B"/>
    <w:rsid w:val="04136AD2"/>
    <w:rsid w:val="045C13A4"/>
    <w:rsid w:val="045F0423"/>
    <w:rsid w:val="04D819DD"/>
    <w:rsid w:val="052F2DB5"/>
    <w:rsid w:val="058269A2"/>
    <w:rsid w:val="05960900"/>
    <w:rsid w:val="05BA5C99"/>
    <w:rsid w:val="05BC67C7"/>
    <w:rsid w:val="05D87A31"/>
    <w:rsid w:val="063D5049"/>
    <w:rsid w:val="065347E9"/>
    <w:rsid w:val="065D5EA8"/>
    <w:rsid w:val="06606241"/>
    <w:rsid w:val="0726391C"/>
    <w:rsid w:val="07812AC2"/>
    <w:rsid w:val="07DE1A5A"/>
    <w:rsid w:val="07F928CE"/>
    <w:rsid w:val="08366C13"/>
    <w:rsid w:val="08420A8F"/>
    <w:rsid w:val="08505133"/>
    <w:rsid w:val="08FB1192"/>
    <w:rsid w:val="09156120"/>
    <w:rsid w:val="09257549"/>
    <w:rsid w:val="09332964"/>
    <w:rsid w:val="094219C1"/>
    <w:rsid w:val="097F55EA"/>
    <w:rsid w:val="09806619"/>
    <w:rsid w:val="09D80260"/>
    <w:rsid w:val="0AFC6E5E"/>
    <w:rsid w:val="0B385EC1"/>
    <w:rsid w:val="0BC22C57"/>
    <w:rsid w:val="0BC813D9"/>
    <w:rsid w:val="0BD731C4"/>
    <w:rsid w:val="0C2B1F8D"/>
    <w:rsid w:val="0C553E79"/>
    <w:rsid w:val="0C626191"/>
    <w:rsid w:val="0CB15621"/>
    <w:rsid w:val="0CBD3C01"/>
    <w:rsid w:val="0CCE5735"/>
    <w:rsid w:val="0CF21384"/>
    <w:rsid w:val="0D2A73CE"/>
    <w:rsid w:val="0D3D1595"/>
    <w:rsid w:val="0D420654"/>
    <w:rsid w:val="0D5C2390"/>
    <w:rsid w:val="0D7570D9"/>
    <w:rsid w:val="0D856206"/>
    <w:rsid w:val="0E437E17"/>
    <w:rsid w:val="0E4B080E"/>
    <w:rsid w:val="0E5C3B49"/>
    <w:rsid w:val="0EC74A4E"/>
    <w:rsid w:val="0ECE5EC7"/>
    <w:rsid w:val="0F3D7588"/>
    <w:rsid w:val="0F866EDD"/>
    <w:rsid w:val="0FB2425F"/>
    <w:rsid w:val="102244EC"/>
    <w:rsid w:val="103013AC"/>
    <w:rsid w:val="104A5488"/>
    <w:rsid w:val="104D6442"/>
    <w:rsid w:val="10BE609D"/>
    <w:rsid w:val="11105F21"/>
    <w:rsid w:val="1141652F"/>
    <w:rsid w:val="11951E4E"/>
    <w:rsid w:val="11D63FDD"/>
    <w:rsid w:val="123F360D"/>
    <w:rsid w:val="12C04FA3"/>
    <w:rsid w:val="131E2514"/>
    <w:rsid w:val="137E16D2"/>
    <w:rsid w:val="139C5CBF"/>
    <w:rsid w:val="13D02F0D"/>
    <w:rsid w:val="13D34282"/>
    <w:rsid w:val="143114EA"/>
    <w:rsid w:val="143A11FD"/>
    <w:rsid w:val="143F1A46"/>
    <w:rsid w:val="1462363F"/>
    <w:rsid w:val="14AF44D9"/>
    <w:rsid w:val="14B327B0"/>
    <w:rsid w:val="14F544D8"/>
    <w:rsid w:val="14FA49D7"/>
    <w:rsid w:val="152316EA"/>
    <w:rsid w:val="161C5DA1"/>
    <w:rsid w:val="163361AA"/>
    <w:rsid w:val="16876F86"/>
    <w:rsid w:val="169954DC"/>
    <w:rsid w:val="16B349E5"/>
    <w:rsid w:val="17036F9C"/>
    <w:rsid w:val="17052B9B"/>
    <w:rsid w:val="17467807"/>
    <w:rsid w:val="17481AA6"/>
    <w:rsid w:val="17574917"/>
    <w:rsid w:val="179A6C0C"/>
    <w:rsid w:val="17A97587"/>
    <w:rsid w:val="17E3087A"/>
    <w:rsid w:val="18547C28"/>
    <w:rsid w:val="185E188F"/>
    <w:rsid w:val="18624A55"/>
    <w:rsid w:val="186E6FD2"/>
    <w:rsid w:val="18AA7B12"/>
    <w:rsid w:val="18D850DC"/>
    <w:rsid w:val="19056E2E"/>
    <w:rsid w:val="19806399"/>
    <w:rsid w:val="19B25118"/>
    <w:rsid w:val="19C34959"/>
    <w:rsid w:val="19DF4FD1"/>
    <w:rsid w:val="19E32824"/>
    <w:rsid w:val="19F96728"/>
    <w:rsid w:val="1A07321B"/>
    <w:rsid w:val="1A4E09CA"/>
    <w:rsid w:val="1AAF279D"/>
    <w:rsid w:val="1AE82425"/>
    <w:rsid w:val="1AEF39F5"/>
    <w:rsid w:val="1B5142C9"/>
    <w:rsid w:val="1BC0321E"/>
    <w:rsid w:val="1BD316B0"/>
    <w:rsid w:val="1BE51098"/>
    <w:rsid w:val="1C4C366A"/>
    <w:rsid w:val="1C5B7427"/>
    <w:rsid w:val="1C5E4C19"/>
    <w:rsid w:val="1CB66270"/>
    <w:rsid w:val="1CC46411"/>
    <w:rsid w:val="1D3C5AD5"/>
    <w:rsid w:val="1D4221D0"/>
    <w:rsid w:val="1DA13CD1"/>
    <w:rsid w:val="1DBC005E"/>
    <w:rsid w:val="1E844CDB"/>
    <w:rsid w:val="1E847C79"/>
    <w:rsid w:val="1EBB7659"/>
    <w:rsid w:val="1ECE23B4"/>
    <w:rsid w:val="1EDE312C"/>
    <w:rsid w:val="1EF4464B"/>
    <w:rsid w:val="1F6A6FEE"/>
    <w:rsid w:val="1F867448"/>
    <w:rsid w:val="1FEB1892"/>
    <w:rsid w:val="200B68DA"/>
    <w:rsid w:val="205466C2"/>
    <w:rsid w:val="205C2D65"/>
    <w:rsid w:val="20B14132"/>
    <w:rsid w:val="21442F46"/>
    <w:rsid w:val="21570ECE"/>
    <w:rsid w:val="21580207"/>
    <w:rsid w:val="21645399"/>
    <w:rsid w:val="2221657B"/>
    <w:rsid w:val="22520613"/>
    <w:rsid w:val="227D3872"/>
    <w:rsid w:val="229E32C6"/>
    <w:rsid w:val="22D637E3"/>
    <w:rsid w:val="231D7D88"/>
    <w:rsid w:val="23301182"/>
    <w:rsid w:val="23DB196E"/>
    <w:rsid w:val="247C0C6F"/>
    <w:rsid w:val="24E26338"/>
    <w:rsid w:val="24E500BA"/>
    <w:rsid w:val="25193656"/>
    <w:rsid w:val="254B093E"/>
    <w:rsid w:val="257909CA"/>
    <w:rsid w:val="259C1256"/>
    <w:rsid w:val="25B94506"/>
    <w:rsid w:val="25D91EE5"/>
    <w:rsid w:val="26366D6F"/>
    <w:rsid w:val="266C72AB"/>
    <w:rsid w:val="26B60F6D"/>
    <w:rsid w:val="26E45229"/>
    <w:rsid w:val="27053ECD"/>
    <w:rsid w:val="279A7040"/>
    <w:rsid w:val="27A75621"/>
    <w:rsid w:val="27EA0FE6"/>
    <w:rsid w:val="284B2FD6"/>
    <w:rsid w:val="28C714F0"/>
    <w:rsid w:val="290B7BF7"/>
    <w:rsid w:val="29ED0BF1"/>
    <w:rsid w:val="2A9F6833"/>
    <w:rsid w:val="2AD0119F"/>
    <w:rsid w:val="2B2064CA"/>
    <w:rsid w:val="2B8A6344"/>
    <w:rsid w:val="2BC0199C"/>
    <w:rsid w:val="2BEB6945"/>
    <w:rsid w:val="2C0F4EB5"/>
    <w:rsid w:val="2C1B71B2"/>
    <w:rsid w:val="2C625DE4"/>
    <w:rsid w:val="2C9050D2"/>
    <w:rsid w:val="2C971AA7"/>
    <w:rsid w:val="2CBC1518"/>
    <w:rsid w:val="2CEB58F1"/>
    <w:rsid w:val="2D593D17"/>
    <w:rsid w:val="2D911466"/>
    <w:rsid w:val="2DA554CC"/>
    <w:rsid w:val="2DC70FE2"/>
    <w:rsid w:val="2DC86BB5"/>
    <w:rsid w:val="2E226E47"/>
    <w:rsid w:val="2E685463"/>
    <w:rsid w:val="2E6929C0"/>
    <w:rsid w:val="2E6F6878"/>
    <w:rsid w:val="2ED960B3"/>
    <w:rsid w:val="2F3C7D5F"/>
    <w:rsid w:val="2F42631D"/>
    <w:rsid w:val="2F503401"/>
    <w:rsid w:val="2F7061F6"/>
    <w:rsid w:val="2F7F20AC"/>
    <w:rsid w:val="2FB60316"/>
    <w:rsid w:val="2FD45DE0"/>
    <w:rsid w:val="30007092"/>
    <w:rsid w:val="30930207"/>
    <w:rsid w:val="30AE19A7"/>
    <w:rsid w:val="315640DB"/>
    <w:rsid w:val="31572B68"/>
    <w:rsid w:val="315E0836"/>
    <w:rsid w:val="32746E72"/>
    <w:rsid w:val="32EA207D"/>
    <w:rsid w:val="335C0266"/>
    <w:rsid w:val="33973BA6"/>
    <w:rsid w:val="33C92C15"/>
    <w:rsid w:val="33F710CA"/>
    <w:rsid w:val="343D6619"/>
    <w:rsid w:val="34414250"/>
    <w:rsid w:val="34964861"/>
    <w:rsid w:val="34C24459"/>
    <w:rsid w:val="354F2C43"/>
    <w:rsid w:val="359D6C49"/>
    <w:rsid w:val="35FB50C7"/>
    <w:rsid w:val="36015EFB"/>
    <w:rsid w:val="363E6695"/>
    <w:rsid w:val="365F6E12"/>
    <w:rsid w:val="36D03C9D"/>
    <w:rsid w:val="37661F28"/>
    <w:rsid w:val="38136F86"/>
    <w:rsid w:val="387E4B3B"/>
    <w:rsid w:val="38B37FEB"/>
    <w:rsid w:val="38DB42AC"/>
    <w:rsid w:val="38FD25F6"/>
    <w:rsid w:val="391670EE"/>
    <w:rsid w:val="3920032B"/>
    <w:rsid w:val="397F702C"/>
    <w:rsid w:val="399526F8"/>
    <w:rsid w:val="39954969"/>
    <w:rsid w:val="3A0063A0"/>
    <w:rsid w:val="3A043106"/>
    <w:rsid w:val="3A096A40"/>
    <w:rsid w:val="3AD1354B"/>
    <w:rsid w:val="3B1B48C3"/>
    <w:rsid w:val="3B395B2A"/>
    <w:rsid w:val="3BF12C2F"/>
    <w:rsid w:val="3C036AEC"/>
    <w:rsid w:val="3C484997"/>
    <w:rsid w:val="3C752D66"/>
    <w:rsid w:val="3C782135"/>
    <w:rsid w:val="3C904CFB"/>
    <w:rsid w:val="3CBC2215"/>
    <w:rsid w:val="3CC776ED"/>
    <w:rsid w:val="3CD53173"/>
    <w:rsid w:val="3D0D185A"/>
    <w:rsid w:val="3DC7101C"/>
    <w:rsid w:val="3DD534F3"/>
    <w:rsid w:val="3DF30577"/>
    <w:rsid w:val="3E2F07C3"/>
    <w:rsid w:val="3E430897"/>
    <w:rsid w:val="3E7755D0"/>
    <w:rsid w:val="3EA70F33"/>
    <w:rsid w:val="3F472624"/>
    <w:rsid w:val="3F6265DE"/>
    <w:rsid w:val="3F7F7E59"/>
    <w:rsid w:val="3F9F0E51"/>
    <w:rsid w:val="400C6876"/>
    <w:rsid w:val="40121F88"/>
    <w:rsid w:val="404035C1"/>
    <w:rsid w:val="40FC3306"/>
    <w:rsid w:val="41670154"/>
    <w:rsid w:val="41AD1938"/>
    <w:rsid w:val="41AE6466"/>
    <w:rsid w:val="41B93D38"/>
    <w:rsid w:val="41BD5719"/>
    <w:rsid w:val="42037A7E"/>
    <w:rsid w:val="42586700"/>
    <w:rsid w:val="426324D5"/>
    <w:rsid w:val="42980F43"/>
    <w:rsid w:val="42B44CC2"/>
    <w:rsid w:val="42E451A2"/>
    <w:rsid w:val="439B5C2D"/>
    <w:rsid w:val="439C056B"/>
    <w:rsid w:val="43D565DA"/>
    <w:rsid w:val="441F7382"/>
    <w:rsid w:val="44607AF3"/>
    <w:rsid w:val="44875D2E"/>
    <w:rsid w:val="44E06280"/>
    <w:rsid w:val="44EB3AD2"/>
    <w:rsid w:val="44ED10D1"/>
    <w:rsid w:val="45132403"/>
    <w:rsid w:val="45716223"/>
    <w:rsid w:val="46037A9B"/>
    <w:rsid w:val="467946D3"/>
    <w:rsid w:val="46C40504"/>
    <w:rsid w:val="476E0F84"/>
    <w:rsid w:val="4849733D"/>
    <w:rsid w:val="489C2E57"/>
    <w:rsid w:val="496A3B3C"/>
    <w:rsid w:val="499D4578"/>
    <w:rsid w:val="4A1D42F2"/>
    <w:rsid w:val="4A534166"/>
    <w:rsid w:val="4A9A6CDF"/>
    <w:rsid w:val="4B24572F"/>
    <w:rsid w:val="4B3904F7"/>
    <w:rsid w:val="4B417746"/>
    <w:rsid w:val="4BD215A7"/>
    <w:rsid w:val="4BDE6646"/>
    <w:rsid w:val="4C023E48"/>
    <w:rsid w:val="4C463238"/>
    <w:rsid w:val="4C4D3CD2"/>
    <w:rsid w:val="4C622843"/>
    <w:rsid w:val="4CE407B8"/>
    <w:rsid w:val="4D261C4F"/>
    <w:rsid w:val="4D773631"/>
    <w:rsid w:val="4DA32ACC"/>
    <w:rsid w:val="4E1E2F91"/>
    <w:rsid w:val="4EE55DBC"/>
    <w:rsid w:val="4F5F7651"/>
    <w:rsid w:val="4F620CCD"/>
    <w:rsid w:val="4F882664"/>
    <w:rsid w:val="4FB9336E"/>
    <w:rsid w:val="506D5473"/>
    <w:rsid w:val="509117BB"/>
    <w:rsid w:val="50966B91"/>
    <w:rsid w:val="5172475E"/>
    <w:rsid w:val="517B1791"/>
    <w:rsid w:val="51BB7F30"/>
    <w:rsid w:val="51C43CC9"/>
    <w:rsid w:val="52021603"/>
    <w:rsid w:val="521D1D2B"/>
    <w:rsid w:val="526E7576"/>
    <w:rsid w:val="52720ED9"/>
    <w:rsid w:val="527B684A"/>
    <w:rsid w:val="52EB2E70"/>
    <w:rsid w:val="52FC79EA"/>
    <w:rsid w:val="53042F33"/>
    <w:rsid w:val="530A3743"/>
    <w:rsid w:val="531021F0"/>
    <w:rsid w:val="53956D0F"/>
    <w:rsid w:val="53D14950"/>
    <w:rsid w:val="54625C1C"/>
    <w:rsid w:val="5481200D"/>
    <w:rsid w:val="54B26BB3"/>
    <w:rsid w:val="54F34111"/>
    <w:rsid w:val="552126DD"/>
    <w:rsid w:val="55422DAE"/>
    <w:rsid w:val="554360ED"/>
    <w:rsid w:val="555A40B3"/>
    <w:rsid w:val="559649A9"/>
    <w:rsid w:val="55C754A8"/>
    <w:rsid w:val="55D55774"/>
    <w:rsid w:val="55E85A60"/>
    <w:rsid w:val="56596FC8"/>
    <w:rsid w:val="56694C24"/>
    <w:rsid w:val="569B2FBD"/>
    <w:rsid w:val="56A74EDF"/>
    <w:rsid w:val="5718128C"/>
    <w:rsid w:val="575D3FE3"/>
    <w:rsid w:val="5777694B"/>
    <w:rsid w:val="57E32739"/>
    <w:rsid w:val="5843559E"/>
    <w:rsid w:val="584F244D"/>
    <w:rsid w:val="58AB2BEE"/>
    <w:rsid w:val="58DF2B72"/>
    <w:rsid w:val="59981717"/>
    <w:rsid w:val="59B973B2"/>
    <w:rsid w:val="59F5231C"/>
    <w:rsid w:val="5A0B4125"/>
    <w:rsid w:val="5AC259C0"/>
    <w:rsid w:val="5B7462A4"/>
    <w:rsid w:val="5B8F6B73"/>
    <w:rsid w:val="5C0A0FF6"/>
    <w:rsid w:val="5C3A6456"/>
    <w:rsid w:val="5C476104"/>
    <w:rsid w:val="5C7200C0"/>
    <w:rsid w:val="5C7524B3"/>
    <w:rsid w:val="5D454C0B"/>
    <w:rsid w:val="5D8D2425"/>
    <w:rsid w:val="5D9C11EB"/>
    <w:rsid w:val="5E4E1B64"/>
    <w:rsid w:val="5F3B27F6"/>
    <w:rsid w:val="5F5360C3"/>
    <w:rsid w:val="5F6705EE"/>
    <w:rsid w:val="5F823624"/>
    <w:rsid w:val="5FA40343"/>
    <w:rsid w:val="5FB66FCB"/>
    <w:rsid w:val="5FF0027B"/>
    <w:rsid w:val="60027B8E"/>
    <w:rsid w:val="60286F15"/>
    <w:rsid w:val="603B6ED0"/>
    <w:rsid w:val="60D81A31"/>
    <w:rsid w:val="60F65B84"/>
    <w:rsid w:val="610517A1"/>
    <w:rsid w:val="615F2B54"/>
    <w:rsid w:val="617C0F38"/>
    <w:rsid w:val="619A7D5C"/>
    <w:rsid w:val="619C7420"/>
    <w:rsid w:val="61B83426"/>
    <w:rsid w:val="623736E2"/>
    <w:rsid w:val="625A2078"/>
    <w:rsid w:val="63131CB9"/>
    <w:rsid w:val="637A261C"/>
    <w:rsid w:val="64C02B46"/>
    <w:rsid w:val="65236D1C"/>
    <w:rsid w:val="652F2C2E"/>
    <w:rsid w:val="653F749F"/>
    <w:rsid w:val="655F6CF3"/>
    <w:rsid w:val="656D23CB"/>
    <w:rsid w:val="66495F07"/>
    <w:rsid w:val="66644E72"/>
    <w:rsid w:val="667E01D0"/>
    <w:rsid w:val="66843932"/>
    <w:rsid w:val="66CF39FE"/>
    <w:rsid w:val="66D51E9F"/>
    <w:rsid w:val="67B74238"/>
    <w:rsid w:val="67CC4507"/>
    <w:rsid w:val="681E79AF"/>
    <w:rsid w:val="684C0616"/>
    <w:rsid w:val="685B48C2"/>
    <w:rsid w:val="687454E0"/>
    <w:rsid w:val="68876897"/>
    <w:rsid w:val="68CB409A"/>
    <w:rsid w:val="69023B00"/>
    <w:rsid w:val="693D3FC7"/>
    <w:rsid w:val="6963320A"/>
    <w:rsid w:val="6980777F"/>
    <w:rsid w:val="69D83F61"/>
    <w:rsid w:val="6A484A9E"/>
    <w:rsid w:val="6A76618B"/>
    <w:rsid w:val="6A964D17"/>
    <w:rsid w:val="6AD3298F"/>
    <w:rsid w:val="6B505167"/>
    <w:rsid w:val="6BCF5AFC"/>
    <w:rsid w:val="6C775DAD"/>
    <w:rsid w:val="6CA60DA0"/>
    <w:rsid w:val="6CBA1FEC"/>
    <w:rsid w:val="6CDC3516"/>
    <w:rsid w:val="6D68306B"/>
    <w:rsid w:val="6DCA1D6E"/>
    <w:rsid w:val="6E990ED2"/>
    <w:rsid w:val="6EB12629"/>
    <w:rsid w:val="6ECE7ADB"/>
    <w:rsid w:val="6ED121D7"/>
    <w:rsid w:val="6F2319BD"/>
    <w:rsid w:val="6FA10120"/>
    <w:rsid w:val="7009506A"/>
    <w:rsid w:val="70374916"/>
    <w:rsid w:val="70475535"/>
    <w:rsid w:val="709C7679"/>
    <w:rsid w:val="71037F11"/>
    <w:rsid w:val="711569C8"/>
    <w:rsid w:val="71E250C5"/>
    <w:rsid w:val="72150466"/>
    <w:rsid w:val="72516841"/>
    <w:rsid w:val="734626F6"/>
    <w:rsid w:val="73963901"/>
    <w:rsid w:val="73AE1A6F"/>
    <w:rsid w:val="73C95422"/>
    <w:rsid w:val="73F9672D"/>
    <w:rsid w:val="746F0516"/>
    <w:rsid w:val="74876B54"/>
    <w:rsid w:val="74B14921"/>
    <w:rsid w:val="74C42182"/>
    <w:rsid w:val="75A6603A"/>
    <w:rsid w:val="75F87D5A"/>
    <w:rsid w:val="7701020F"/>
    <w:rsid w:val="770C02CA"/>
    <w:rsid w:val="77110175"/>
    <w:rsid w:val="7750125A"/>
    <w:rsid w:val="77B06344"/>
    <w:rsid w:val="77B4407C"/>
    <w:rsid w:val="78602329"/>
    <w:rsid w:val="786D78A1"/>
    <w:rsid w:val="78762664"/>
    <w:rsid w:val="79026962"/>
    <w:rsid w:val="79336845"/>
    <w:rsid w:val="79831FF9"/>
    <w:rsid w:val="798A7E2E"/>
    <w:rsid w:val="7A3C68F9"/>
    <w:rsid w:val="7A420C17"/>
    <w:rsid w:val="7B2B278E"/>
    <w:rsid w:val="7B2E1392"/>
    <w:rsid w:val="7B551EA5"/>
    <w:rsid w:val="7BE85668"/>
    <w:rsid w:val="7C83613F"/>
    <w:rsid w:val="7D287303"/>
    <w:rsid w:val="7D6929DA"/>
    <w:rsid w:val="7D781257"/>
    <w:rsid w:val="7DFC2632"/>
    <w:rsid w:val="7E087019"/>
    <w:rsid w:val="7E153B2B"/>
    <w:rsid w:val="7E584770"/>
    <w:rsid w:val="7E9F1A49"/>
    <w:rsid w:val="7EC5114B"/>
    <w:rsid w:val="7EC62D2F"/>
    <w:rsid w:val="7F080E49"/>
    <w:rsid w:val="7F214C07"/>
    <w:rsid w:val="7F474DF5"/>
    <w:rsid w:val="7F9E3C6E"/>
    <w:rsid w:val="7FA007FA"/>
    <w:rsid w:val="7FAC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99"/>
    <w:pPr>
      <w:keepNext/>
      <w:widowControl/>
      <w:numPr>
        <w:ilvl w:val="0"/>
        <w:numId w:val="1"/>
      </w:numPr>
      <w:jc w:val="center"/>
      <w:outlineLvl w:val="0"/>
    </w:pPr>
    <w:rPr>
      <w:rFonts w:ascii="黑体" w:eastAsia="黑体"/>
      <w:kern w:val="0"/>
      <w:sz w:val="52"/>
    </w:rPr>
  </w:style>
  <w:style w:type="paragraph" w:styleId="4">
    <w:name w:val="heading 2"/>
    <w:basedOn w:val="1"/>
    <w:next w:val="1"/>
    <w:link w:val="46"/>
    <w:qFormat/>
    <w:uiPriority w:val="99"/>
    <w:pPr>
      <w:keepNext/>
      <w:keepLines/>
      <w:widowControl/>
      <w:spacing w:before="260" w:after="260" w:line="413" w:lineRule="auto"/>
      <w:jc w:val="center"/>
      <w:outlineLvl w:val="1"/>
    </w:pPr>
    <w:rPr>
      <w:rFonts w:ascii="Arial" w:hAnsi="Arial" w:eastAsia="黑体"/>
      <w:b/>
      <w:kern w:val="0"/>
      <w:sz w:val="36"/>
    </w:rPr>
  </w:style>
  <w:style w:type="paragraph" w:styleId="5">
    <w:name w:val="heading 3"/>
    <w:basedOn w:val="1"/>
    <w:next w:val="1"/>
    <w:link w:val="47"/>
    <w:qFormat/>
    <w:uiPriority w:val="99"/>
    <w:pPr>
      <w:keepNext/>
      <w:keepLines/>
      <w:widowControl/>
      <w:numPr>
        <w:ilvl w:val="2"/>
        <w:numId w:val="1"/>
      </w:numPr>
      <w:spacing w:before="120" w:after="120" w:line="360" w:lineRule="auto"/>
      <w:jc w:val="center"/>
      <w:outlineLvl w:val="2"/>
    </w:pPr>
    <w:rPr>
      <w:b/>
      <w:kern w:val="0"/>
      <w:sz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48"/>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kern w:val="0"/>
      <w:sz w:val="24"/>
    </w:rPr>
  </w:style>
  <w:style w:type="paragraph" w:styleId="9">
    <w:name w:val="heading 7"/>
    <w:basedOn w:val="1"/>
    <w:next w:val="1"/>
    <w:qFormat/>
    <w:uiPriority w:val="0"/>
    <w:pPr>
      <w:keepNext/>
      <w:keepLines/>
      <w:widowControl/>
      <w:numPr>
        <w:ilvl w:val="6"/>
        <w:numId w:val="1"/>
      </w:numPr>
      <w:spacing w:before="240" w:after="64" w:line="317" w:lineRule="auto"/>
      <w:jc w:val="left"/>
      <w:outlineLvl w:val="6"/>
    </w:pPr>
    <w:rPr>
      <w:b/>
      <w:kern w:val="0"/>
      <w:sz w:val="24"/>
    </w:rPr>
  </w:style>
  <w:style w:type="paragraph" w:styleId="10">
    <w:name w:val="heading 8"/>
    <w:basedOn w:val="1"/>
    <w:next w:val="1"/>
    <w:qFormat/>
    <w:uiPriority w:val="0"/>
    <w:pPr>
      <w:keepNext/>
      <w:keepLines/>
      <w:widowControl/>
      <w:numPr>
        <w:ilvl w:val="7"/>
        <w:numId w:val="1"/>
      </w:numPr>
      <w:spacing w:before="240" w:after="64" w:line="317"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17" w:lineRule="auto"/>
      <w:jc w:val="left"/>
      <w:outlineLvl w:val="8"/>
    </w:pPr>
    <w:rPr>
      <w:rFonts w:ascii="Arial" w:hAnsi="Arial" w:eastAsia="黑体"/>
      <w:kern w:val="0"/>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Plain Text"/>
    <w:basedOn w:val="1"/>
    <w:link w:val="54"/>
    <w:qFormat/>
    <w:uiPriority w:val="99"/>
    <w:rPr>
      <w:rFonts w:ascii="宋体" w:hAnsi="Courier New"/>
    </w:rPr>
  </w:style>
  <w:style w:type="paragraph" w:styleId="12">
    <w:name w:val="Note Heading"/>
    <w:basedOn w:val="1"/>
    <w:next w:val="1"/>
    <w:qFormat/>
    <w:uiPriority w:val="0"/>
    <w:pPr>
      <w:jc w:val="center"/>
    </w:pPr>
  </w:style>
  <w:style w:type="paragraph" w:styleId="13">
    <w:name w:val="Normal Indent"/>
    <w:basedOn w:val="1"/>
    <w:qFormat/>
    <w:uiPriority w:val="0"/>
    <w:pPr>
      <w:ind w:firstLine="420" w:firstLineChars="200"/>
    </w:pPr>
  </w:style>
  <w:style w:type="paragraph" w:styleId="14">
    <w:name w:val="Document Map"/>
    <w:basedOn w:val="1"/>
    <w:link w:val="59"/>
    <w:qFormat/>
    <w:uiPriority w:val="99"/>
    <w:pPr>
      <w:shd w:val="clear" w:color="auto" w:fill="000080"/>
    </w:pPr>
  </w:style>
  <w:style w:type="paragraph" w:styleId="15">
    <w:name w:val="annotation text"/>
    <w:basedOn w:val="1"/>
    <w:link w:val="50"/>
    <w:qFormat/>
    <w:uiPriority w:val="0"/>
    <w:pPr>
      <w:adjustRightInd w:val="0"/>
      <w:spacing w:line="360" w:lineRule="atLeast"/>
      <w:jc w:val="left"/>
      <w:textAlignment w:val="baseline"/>
    </w:pPr>
    <w:rPr>
      <w:kern w:val="0"/>
      <w:sz w:val="24"/>
    </w:rPr>
  </w:style>
  <w:style w:type="paragraph" w:styleId="16">
    <w:name w:val="Body Text 3"/>
    <w:basedOn w:val="1"/>
    <w:next w:val="1"/>
    <w:link w:val="62"/>
    <w:qFormat/>
    <w:uiPriority w:val="0"/>
    <w:pPr>
      <w:spacing w:after="120"/>
    </w:pPr>
    <w:rPr>
      <w:sz w:val="16"/>
      <w:szCs w:val="16"/>
    </w:rPr>
  </w:style>
  <w:style w:type="paragraph" w:styleId="17">
    <w:name w:val="Body Text"/>
    <w:basedOn w:val="1"/>
    <w:next w:val="18"/>
    <w:link w:val="60"/>
    <w:qFormat/>
    <w:uiPriority w:val="99"/>
    <w:pPr>
      <w:spacing w:line="0" w:lineRule="atLeast"/>
    </w:pPr>
    <w:rPr>
      <w:sz w:val="30"/>
    </w:rPr>
  </w:style>
  <w:style w:type="paragraph" w:styleId="18">
    <w:name w:val="toc 2"/>
    <w:basedOn w:val="1"/>
    <w:next w:val="1"/>
    <w:qFormat/>
    <w:uiPriority w:val="39"/>
    <w:pPr>
      <w:ind w:left="210"/>
      <w:jc w:val="left"/>
    </w:pPr>
    <w:rPr>
      <w:rFonts w:ascii="Times New Roman" w:hAnsi="Times New Roman"/>
      <w:smallCaps/>
      <w:sz w:val="20"/>
      <w:szCs w:val="20"/>
    </w:rPr>
  </w:style>
  <w:style w:type="paragraph" w:styleId="19">
    <w:name w:val="Body Text Indent"/>
    <w:basedOn w:val="1"/>
    <w:link w:val="56"/>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0">
    <w:name w:val="Block Text"/>
    <w:basedOn w:val="1"/>
    <w:qFormat/>
    <w:uiPriority w:val="0"/>
    <w:pPr>
      <w:adjustRightInd w:val="0"/>
      <w:ind w:left="420" w:right="33"/>
      <w:jc w:val="left"/>
      <w:textAlignment w:val="baseline"/>
    </w:pPr>
    <w:rPr>
      <w:kern w:val="0"/>
      <w:sz w:val="24"/>
    </w:rPr>
  </w:style>
  <w:style w:type="paragraph" w:styleId="21">
    <w:name w:val="toc 3"/>
    <w:basedOn w:val="1"/>
    <w:next w:val="1"/>
    <w:qFormat/>
    <w:uiPriority w:val="0"/>
    <w:pPr>
      <w:widowControl/>
      <w:ind w:left="400" w:right="255"/>
    </w:pPr>
    <w:rPr>
      <w:kern w:val="0"/>
      <w:sz w:val="24"/>
    </w:rPr>
  </w:style>
  <w:style w:type="paragraph" w:styleId="22">
    <w:name w:val="Date"/>
    <w:basedOn w:val="1"/>
    <w:next w:val="1"/>
    <w:link w:val="52"/>
    <w:qFormat/>
    <w:uiPriority w:val="99"/>
    <w:rPr>
      <w:sz w:val="24"/>
    </w:rPr>
  </w:style>
  <w:style w:type="paragraph" w:styleId="23">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4">
    <w:name w:val="Balloon Text"/>
    <w:basedOn w:val="1"/>
    <w:link w:val="57"/>
    <w:qFormat/>
    <w:uiPriority w:val="99"/>
    <w:rPr>
      <w:sz w:val="18"/>
      <w:szCs w:val="18"/>
    </w:rPr>
  </w:style>
  <w:style w:type="paragraph" w:styleId="25">
    <w:name w:val="footer"/>
    <w:basedOn w:val="1"/>
    <w:link w:val="55"/>
    <w:qFormat/>
    <w:uiPriority w:val="99"/>
    <w:pPr>
      <w:widowControl/>
      <w:tabs>
        <w:tab w:val="center" w:pos="4153"/>
        <w:tab w:val="right" w:pos="8306"/>
      </w:tabs>
      <w:snapToGrid w:val="0"/>
      <w:jc w:val="left"/>
    </w:pPr>
    <w:rPr>
      <w:kern w:val="0"/>
      <w:sz w:val="18"/>
    </w:rPr>
  </w:style>
  <w:style w:type="paragraph" w:styleId="26">
    <w:name w:val="header"/>
    <w:basedOn w:val="1"/>
    <w:link w:val="53"/>
    <w:qFormat/>
    <w:uiPriority w:val="99"/>
    <w:pPr>
      <w:widowControl/>
      <w:pBdr>
        <w:bottom w:val="single" w:color="auto" w:sz="6" w:space="1"/>
      </w:pBdr>
      <w:tabs>
        <w:tab w:val="center" w:pos="4153"/>
        <w:tab w:val="right" w:pos="8306"/>
      </w:tabs>
      <w:snapToGrid w:val="0"/>
      <w:jc w:val="center"/>
    </w:pPr>
    <w:rPr>
      <w:kern w:val="0"/>
      <w:sz w:val="18"/>
    </w:rPr>
  </w:style>
  <w:style w:type="paragraph" w:styleId="27">
    <w:name w:val="toc 1"/>
    <w:basedOn w:val="1"/>
    <w:next w:val="1"/>
    <w:qFormat/>
    <w:uiPriority w:val="0"/>
    <w:pPr>
      <w:spacing w:line="480" w:lineRule="exact"/>
    </w:pPr>
    <w:rPr>
      <w:rFonts w:eastAsia="黑体"/>
      <w:sz w:val="28"/>
    </w:rPr>
  </w:style>
  <w:style w:type="paragraph" w:styleId="28">
    <w:name w:val="toc 4"/>
    <w:basedOn w:val="1"/>
    <w:next w:val="1"/>
    <w:qFormat/>
    <w:uiPriority w:val="0"/>
    <w:pPr>
      <w:widowControl/>
      <w:ind w:left="600"/>
      <w:jc w:val="left"/>
    </w:pPr>
    <w:rPr>
      <w:kern w:val="0"/>
      <w:sz w:val="20"/>
    </w:rPr>
  </w:style>
  <w:style w:type="paragraph" w:styleId="29">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30">
    <w:name w:val="footnote text"/>
    <w:basedOn w:val="1"/>
    <w:link w:val="63"/>
    <w:qFormat/>
    <w:uiPriority w:val="99"/>
    <w:pPr>
      <w:snapToGrid w:val="0"/>
      <w:jc w:val="left"/>
    </w:pPr>
    <w:rPr>
      <w:sz w:val="18"/>
    </w:rPr>
  </w:style>
  <w:style w:type="paragraph" w:styleId="31">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2">
    <w:name w:val="Body Text 2"/>
    <w:basedOn w:val="1"/>
    <w:link w:val="51"/>
    <w:qFormat/>
    <w:uiPriority w:val="99"/>
    <w:rPr>
      <w:sz w:val="28"/>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5"/>
    <w:next w:val="15"/>
    <w:link w:val="49"/>
    <w:qFormat/>
    <w:uiPriority w:val="0"/>
    <w:pPr>
      <w:adjustRightInd/>
      <w:spacing w:line="240" w:lineRule="auto"/>
      <w:textAlignment w:val="auto"/>
    </w:pPr>
    <w:rPr>
      <w:b/>
      <w:bCs/>
      <w:kern w:val="2"/>
      <w:sz w:val="21"/>
    </w:rPr>
  </w:style>
  <w:style w:type="paragraph" w:styleId="35">
    <w:name w:val="Body Text First Indent 2"/>
    <w:basedOn w:val="19"/>
    <w:unhideWhenUsed/>
    <w:qFormat/>
    <w:uiPriority w:val="99"/>
    <w:pPr>
      <w:ind w:left="200" w:firstLine="200" w:firstLineChars="200"/>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99"/>
  </w:style>
  <w:style w:type="character" w:styleId="41">
    <w:name w:val="FollowedHyperlink"/>
    <w:basedOn w:val="38"/>
    <w:qFormat/>
    <w:uiPriority w:val="99"/>
    <w:rPr>
      <w:color w:val="000000"/>
      <w:u w:val="single"/>
    </w:rPr>
  </w:style>
  <w:style w:type="character" w:styleId="42">
    <w:name w:val="Hyperlink"/>
    <w:basedOn w:val="38"/>
    <w:qFormat/>
    <w:uiPriority w:val="99"/>
    <w:rPr>
      <w:color w:val="051970"/>
      <w:u w:val="single"/>
    </w:rPr>
  </w:style>
  <w:style w:type="character" w:styleId="43">
    <w:name w:val="annotation reference"/>
    <w:qFormat/>
    <w:uiPriority w:val="0"/>
    <w:rPr>
      <w:sz w:val="21"/>
      <w:szCs w:val="21"/>
    </w:rPr>
  </w:style>
  <w:style w:type="character" w:styleId="44">
    <w:name w:val="footnote reference"/>
    <w:qFormat/>
    <w:uiPriority w:val="99"/>
    <w:rPr>
      <w:vertAlign w:val="superscript"/>
    </w:rPr>
  </w:style>
  <w:style w:type="character" w:customStyle="1" w:styleId="45">
    <w:name w:val="标题 1 字符"/>
    <w:link w:val="3"/>
    <w:qFormat/>
    <w:locked/>
    <w:uiPriority w:val="99"/>
    <w:rPr>
      <w:rFonts w:ascii="黑体" w:eastAsia="黑体"/>
      <w:sz w:val="52"/>
    </w:rPr>
  </w:style>
  <w:style w:type="character" w:customStyle="1" w:styleId="46">
    <w:name w:val="标题 2 字符"/>
    <w:link w:val="4"/>
    <w:qFormat/>
    <w:locked/>
    <w:uiPriority w:val="99"/>
    <w:rPr>
      <w:rFonts w:ascii="Arial" w:hAnsi="Arial" w:eastAsia="黑体"/>
      <w:b/>
      <w:sz w:val="36"/>
    </w:rPr>
  </w:style>
  <w:style w:type="character" w:customStyle="1" w:styleId="47">
    <w:name w:val="标题 3 字符"/>
    <w:link w:val="5"/>
    <w:qFormat/>
    <w:locked/>
    <w:uiPriority w:val="99"/>
    <w:rPr>
      <w:b/>
      <w:sz w:val="32"/>
    </w:rPr>
  </w:style>
  <w:style w:type="character" w:customStyle="1" w:styleId="48">
    <w:name w:val="标题 5 字符"/>
    <w:link w:val="7"/>
    <w:qFormat/>
    <w:locked/>
    <w:uiPriority w:val="99"/>
    <w:rPr>
      <w:rFonts w:ascii="宋体" w:hAnsi="宋体"/>
      <w:b/>
      <w:sz w:val="24"/>
    </w:rPr>
  </w:style>
  <w:style w:type="character" w:customStyle="1" w:styleId="49">
    <w:name w:val="批注主题 字符"/>
    <w:link w:val="34"/>
    <w:qFormat/>
    <w:uiPriority w:val="0"/>
    <w:rPr>
      <w:b/>
      <w:bCs/>
      <w:kern w:val="2"/>
      <w:sz w:val="21"/>
    </w:rPr>
  </w:style>
  <w:style w:type="character" w:customStyle="1" w:styleId="50">
    <w:name w:val="批注文字 字符"/>
    <w:link w:val="15"/>
    <w:qFormat/>
    <w:uiPriority w:val="0"/>
    <w:rPr>
      <w:sz w:val="24"/>
    </w:rPr>
  </w:style>
  <w:style w:type="character" w:customStyle="1" w:styleId="51">
    <w:name w:val="正文文本 2 字符"/>
    <w:link w:val="32"/>
    <w:qFormat/>
    <w:uiPriority w:val="99"/>
    <w:rPr>
      <w:kern w:val="2"/>
      <w:sz w:val="28"/>
    </w:rPr>
  </w:style>
  <w:style w:type="character" w:customStyle="1" w:styleId="52">
    <w:name w:val="日期 字符"/>
    <w:link w:val="22"/>
    <w:qFormat/>
    <w:locked/>
    <w:uiPriority w:val="99"/>
    <w:rPr>
      <w:kern w:val="2"/>
      <w:sz w:val="24"/>
    </w:rPr>
  </w:style>
  <w:style w:type="character" w:customStyle="1" w:styleId="53">
    <w:name w:val="页眉 字符"/>
    <w:link w:val="26"/>
    <w:qFormat/>
    <w:locked/>
    <w:uiPriority w:val="99"/>
    <w:rPr>
      <w:sz w:val="18"/>
    </w:rPr>
  </w:style>
  <w:style w:type="character" w:customStyle="1" w:styleId="54">
    <w:name w:val="纯文本 字符"/>
    <w:link w:val="2"/>
    <w:qFormat/>
    <w:locked/>
    <w:uiPriority w:val="99"/>
    <w:rPr>
      <w:rFonts w:ascii="宋体" w:hAnsi="Courier New"/>
      <w:kern w:val="2"/>
      <w:sz w:val="21"/>
    </w:rPr>
  </w:style>
  <w:style w:type="character" w:customStyle="1" w:styleId="55">
    <w:name w:val="页脚 字符"/>
    <w:link w:val="25"/>
    <w:qFormat/>
    <w:uiPriority w:val="99"/>
    <w:rPr>
      <w:sz w:val="18"/>
    </w:rPr>
  </w:style>
  <w:style w:type="character" w:customStyle="1" w:styleId="56">
    <w:name w:val="正文文本缩进 字符"/>
    <w:link w:val="19"/>
    <w:qFormat/>
    <w:locked/>
    <w:uiPriority w:val="99"/>
    <w:rPr>
      <w:rFonts w:ascii="宋体" w:hAnsi="MS Sans Serif"/>
      <w:spacing w:val="12"/>
      <w:sz w:val="24"/>
    </w:rPr>
  </w:style>
  <w:style w:type="character" w:customStyle="1" w:styleId="57">
    <w:name w:val="批注框文本 字符"/>
    <w:link w:val="24"/>
    <w:qFormat/>
    <w:uiPriority w:val="99"/>
    <w:rPr>
      <w:kern w:val="2"/>
      <w:sz w:val="18"/>
      <w:szCs w:val="18"/>
    </w:rPr>
  </w:style>
  <w:style w:type="character" w:customStyle="1" w:styleId="58">
    <w:name w:val="textcontents"/>
    <w:basedOn w:val="38"/>
    <w:qFormat/>
    <w:uiPriority w:val="99"/>
  </w:style>
  <w:style w:type="character" w:customStyle="1" w:styleId="59">
    <w:name w:val="文档结构图 字符"/>
    <w:link w:val="14"/>
    <w:qFormat/>
    <w:uiPriority w:val="99"/>
    <w:rPr>
      <w:kern w:val="2"/>
      <w:sz w:val="21"/>
      <w:shd w:val="clear" w:color="auto" w:fill="000080"/>
    </w:rPr>
  </w:style>
  <w:style w:type="character" w:customStyle="1" w:styleId="60">
    <w:name w:val="正文文本 字符"/>
    <w:link w:val="17"/>
    <w:qFormat/>
    <w:uiPriority w:val="99"/>
    <w:rPr>
      <w:kern w:val="2"/>
      <w:sz w:val="30"/>
    </w:rPr>
  </w:style>
  <w:style w:type="character" w:customStyle="1" w:styleId="61">
    <w:name w:val="bold1"/>
    <w:basedOn w:val="38"/>
    <w:qFormat/>
    <w:uiPriority w:val="0"/>
    <w:rPr>
      <w:b/>
      <w:bCs/>
    </w:rPr>
  </w:style>
  <w:style w:type="character" w:customStyle="1" w:styleId="62">
    <w:name w:val="正文文本 3 字符"/>
    <w:link w:val="16"/>
    <w:qFormat/>
    <w:uiPriority w:val="0"/>
    <w:rPr>
      <w:kern w:val="2"/>
      <w:sz w:val="16"/>
      <w:szCs w:val="16"/>
    </w:rPr>
  </w:style>
  <w:style w:type="character" w:customStyle="1" w:styleId="63">
    <w:name w:val="脚注文本 字符"/>
    <w:link w:val="30"/>
    <w:qFormat/>
    <w:uiPriority w:val="99"/>
    <w:rPr>
      <w:kern w:val="2"/>
      <w:sz w:val="18"/>
    </w:rPr>
  </w:style>
  <w:style w:type="character" w:customStyle="1" w:styleId="64">
    <w:name w:val="font21"/>
    <w:basedOn w:val="38"/>
    <w:qFormat/>
    <w:uiPriority w:val="0"/>
    <w:rPr>
      <w:rFonts w:hint="eastAsia" w:ascii="楷体" w:hAnsi="楷体" w:eastAsia="楷体" w:cs="楷体"/>
      <w:color w:val="000000"/>
      <w:sz w:val="24"/>
      <w:szCs w:val="24"/>
      <w:u w:val="single"/>
    </w:rPr>
  </w:style>
  <w:style w:type="character" w:customStyle="1" w:styleId="65">
    <w:name w:val="font31"/>
    <w:basedOn w:val="38"/>
    <w:qFormat/>
    <w:uiPriority w:val="0"/>
    <w:rPr>
      <w:rFonts w:hint="eastAsia" w:ascii="宋体" w:hAnsi="宋体" w:eastAsia="宋体" w:cs="宋体"/>
      <w:color w:val="000000"/>
      <w:sz w:val="22"/>
      <w:szCs w:val="22"/>
      <w:u w:val="none"/>
    </w:rPr>
  </w:style>
  <w:style w:type="character" w:customStyle="1" w:styleId="66">
    <w:name w:val="Para head"/>
    <w:qFormat/>
    <w:uiPriority w:val="0"/>
    <w:rPr>
      <w:rFonts w:ascii="Arial" w:hAnsi="Arial" w:eastAsia="Times New Roman"/>
      <w:sz w:val="20"/>
    </w:rPr>
  </w:style>
  <w:style w:type="paragraph" w:customStyle="1" w:styleId="67">
    <w:name w:val="样式1"/>
    <w:basedOn w:val="1"/>
    <w:qFormat/>
    <w:uiPriority w:val="0"/>
    <w:pPr>
      <w:spacing w:before="120" w:after="120" w:line="300" w:lineRule="auto"/>
    </w:pPr>
    <w:rPr>
      <w:rFonts w:ascii="宋体" w:hAnsi="宋体"/>
      <w:b/>
      <w:sz w:val="24"/>
    </w:rPr>
  </w:style>
  <w:style w:type="paragraph" w:customStyle="1" w:styleId="68">
    <w:name w:val="菲页(卷)"/>
    <w:basedOn w:val="3"/>
    <w:next w:val="69"/>
    <w:qFormat/>
    <w:uiPriority w:val="0"/>
    <w:pPr>
      <w:numPr>
        <w:numId w:val="2"/>
      </w:numPr>
      <w:tabs>
        <w:tab w:val="left" w:pos="1475"/>
      </w:tabs>
      <w:outlineLvl w:val="1"/>
    </w:pPr>
  </w:style>
  <w:style w:type="paragraph" w:customStyle="1" w:styleId="6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0">
    <w:name w:val="目录"/>
    <w:basedOn w:val="1"/>
    <w:qFormat/>
    <w:uiPriority w:val="0"/>
    <w:pPr>
      <w:widowControl/>
      <w:jc w:val="center"/>
    </w:pPr>
    <w:rPr>
      <w:rFonts w:ascii="宋体"/>
      <w:b/>
      <w:kern w:val="0"/>
      <w:sz w:val="36"/>
    </w:rPr>
  </w:style>
  <w:style w:type="paragraph" w:customStyle="1" w:styleId="71">
    <w:name w:val="菲页2"/>
    <w:basedOn w:val="5"/>
    <w:qFormat/>
    <w:uiPriority w:val="0"/>
    <w:pPr>
      <w:numPr>
        <w:numId w:val="2"/>
      </w:numPr>
      <w:tabs>
        <w:tab w:val="left" w:pos="1475"/>
        <w:tab w:val="left" w:pos="1820"/>
      </w:tabs>
    </w:pPr>
    <w:rPr>
      <w:rFonts w:ascii="黑体" w:hAnsi="宋体" w:eastAsia="黑体"/>
      <w:b w:val="0"/>
      <w:sz w:val="44"/>
    </w:rPr>
  </w:style>
  <w:style w:type="paragraph" w:customStyle="1" w:styleId="72">
    <w:name w:val="Char Char Char Char"/>
    <w:basedOn w:val="1"/>
    <w:qFormat/>
    <w:uiPriority w:val="0"/>
    <w:pPr>
      <w:widowControl/>
      <w:spacing w:after="160" w:line="240" w:lineRule="exact"/>
      <w:jc w:val="left"/>
    </w:pPr>
    <w:rPr>
      <w:szCs w:val="24"/>
    </w:rPr>
  </w:style>
  <w:style w:type="paragraph" w:customStyle="1" w:styleId="73">
    <w:name w:val="菲页1"/>
    <w:basedOn w:val="4"/>
    <w:qFormat/>
    <w:uiPriority w:val="0"/>
    <w:rPr>
      <w:rFonts w:ascii="黑体" w:hAnsi="宋体"/>
      <w:b w:val="0"/>
      <w:sz w:val="52"/>
    </w:rPr>
  </w:style>
  <w:style w:type="paragraph" w:customStyle="1" w:styleId="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5">
    <w:name w:val="目录文字"/>
    <w:basedOn w:val="1"/>
    <w:qFormat/>
    <w:uiPriority w:val="0"/>
    <w:pPr>
      <w:widowControl/>
      <w:spacing w:line="480" w:lineRule="auto"/>
      <w:jc w:val="left"/>
    </w:pPr>
    <w:rPr>
      <w:rFonts w:ascii="宋体" w:hAnsi="宋体"/>
      <w:kern w:val="0"/>
      <w:sz w:val="24"/>
    </w:rPr>
  </w:style>
  <w:style w:type="paragraph" w:customStyle="1" w:styleId="76">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List Paragraph"/>
    <w:basedOn w:val="1"/>
    <w:qFormat/>
    <w:uiPriority w:val="99"/>
    <w:pPr>
      <w:ind w:firstLine="420" w:firstLineChars="200"/>
    </w:pPr>
  </w:style>
  <w:style w:type="paragraph" w:customStyle="1" w:styleId="7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79">
    <w:name w:val="样式 标题 3 + (中文) 黑体 小四 非加粗 段前: 7.8 磅 段后: 0 磅 行距: 固定值 20 磅"/>
    <w:basedOn w:val="5"/>
    <w:qFormat/>
    <w:uiPriority w:val="0"/>
    <w:pPr>
      <w:spacing w:before="0" w:after="0" w:line="400" w:lineRule="exact"/>
    </w:pPr>
    <w:rPr>
      <w:rFonts w:eastAsia="黑体"/>
      <w:b w:val="0"/>
      <w:sz w:val="24"/>
      <w:szCs w:val="20"/>
    </w:rPr>
  </w:style>
  <w:style w:type="paragraph" w:customStyle="1" w:styleId="80">
    <w:name w:val="Table Paragraph"/>
    <w:basedOn w:val="1"/>
    <w:qFormat/>
    <w:uiPriority w:val="1"/>
    <w:rPr>
      <w:rFonts w:ascii="仿宋_GB2312" w:hAnsi="仿宋_GB2312" w:eastAsia="仿宋_GB2312" w:cs="仿宋_GB2312"/>
      <w:lang w:val="zh-CN" w:bidi="zh-CN"/>
    </w:rPr>
  </w:style>
  <w:style w:type="paragraph" w:customStyle="1" w:styleId="81">
    <w:name w:val="列表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jjj</Company>
  <Pages>55</Pages>
  <Words>30958</Words>
  <Characters>32089</Characters>
  <Lines>458</Lines>
  <Paragraphs>129</Paragraphs>
  <TotalTime>3</TotalTime>
  <ScaleCrop>false</ScaleCrop>
  <LinksUpToDate>false</LinksUpToDate>
  <CharactersWithSpaces>34257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2019-04-24T06:30:00Z</dcterms:created>
  <dc:creator>123</dc:creator>
  <cp:lastModifiedBy>王先生</cp:lastModifiedBy>
  <cp:lastPrinted>2020-12-14T07:16:00Z</cp:lastPrinted>
  <dcterms:modified xsi:type="dcterms:W3CDTF">2023-05-10T07:36:44Z</dcterms:modified>
  <dc:title>123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2511FEF48900454AAA1F453D4FAB8B52</vt:lpwstr>
  </property>
  <property fmtid="{D5CDD505-2E9C-101B-9397-08002B2CF9AE}" pid="4" name="commondata">
    <vt:lpwstr>eyJoZGlkIjoiMWEyOTU0OTZiOTMyOWVkZDdmZDdmYjRkZDhjNmM0ZjAifQ==</vt:lpwstr>
  </property>
</Properties>
</file>