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cs="宋体"/>
          <w:b/>
          <w:bCs/>
          <w:sz w:val="36"/>
          <w:szCs w:val="36"/>
        </w:rPr>
      </w:pPr>
      <w:r>
        <w:rPr>
          <w:rFonts w:hint="eastAsia" w:ascii="宋体" w:hAnsi="宋体" w:cs="宋体"/>
          <w:b/>
          <w:bCs/>
          <w:sz w:val="36"/>
          <w:szCs w:val="36"/>
        </w:rPr>
        <w:t>招标公告</w:t>
      </w:r>
    </w:p>
    <w:p>
      <w:pPr>
        <w:spacing w:line="420" w:lineRule="exact"/>
        <w:jc w:val="left"/>
        <w:rPr>
          <w:rFonts w:ascii="宋体" w:hAnsi="宋体" w:cs="宋体"/>
          <w:sz w:val="24"/>
        </w:rPr>
      </w:pPr>
      <w:r>
        <w:rPr>
          <w:rFonts w:hint="eastAsia" w:ascii="宋体" w:hAnsi="宋体" w:cs="宋体"/>
          <w:sz w:val="24"/>
        </w:rPr>
        <w:t>一、招标范围：</w:t>
      </w:r>
    </w:p>
    <w:p>
      <w:pPr>
        <w:widowControl/>
        <w:spacing w:line="360" w:lineRule="auto"/>
        <w:ind w:firstLine="480" w:firstLineChars="200"/>
        <w:jc w:val="left"/>
        <w:rPr>
          <w:rFonts w:ascii="宋体" w:hAnsi="宋体" w:cs="宋体"/>
          <w:bCs/>
          <w:color w:val="FF0000"/>
          <w:kern w:val="0"/>
          <w:sz w:val="24"/>
          <w:szCs w:val="24"/>
          <w:u w:val="single"/>
          <w:shd w:val="clear" w:color="auto" w:fill="FFFFFF"/>
          <w:lang w:bidi="ar"/>
        </w:rPr>
      </w:pPr>
      <w:r>
        <w:rPr>
          <w:rFonts w:hint="eastAsia" w:ascii="宋体" w:hAnsi="宋体" w:cs="宋体"/>
          <w:b/>
          <w:bCs/>
          <w:color w:val="000000"/>
          <w:sz w:val="24"/>
        </w:rPr>
        <w:t xml:space="preserve">   1、招标材料/设备名称：</w:t>
      </w:r>
      <w:r>
        <w:rPr>
          <w:rFonts w:hint="eastAsia" w:ascii="宋体" w:hAnsi="宋体" w:cs="宋体"/>
          <w:b/>
          <w:color w:val="000000"/>
          <w:kern w:val="0"/>
          <w:sz w:val="22"/>
          <w:lang w:bidi="ar"/>
        </w:rPr>
        <w:t xml:space="preserve"> </w:t>
      </w:r>
      <w:r>
        <w:rPr>
          <w:rFonts w:hint="eastAsia" w:ascii="Times New Roman" w:hAnsi="宋体" w:cs="宋体"/>
          <w:sz w:val="24"/>
        </w:rPr>
        <w:t>河北省文艺家之家小剧场专项工程小剧场观摩厅音视频，包含但不限于初设文件，招标清单及招标图纸范围内所有的施工内容及材料设备采购、安装，施工应满足设计要求和规范规定，并负责施工内容的各项试验检验，专项方案以及竣工资料的编制、整理、报验、档案馆的归档和配合总包单位的归档，保证分部工程验收及整体工程最终竣工验收，并负责两年的质保维修及设备使用培训</w:t>
      </w:r>
    </w:p>
    <w:p>
      <w:pPr>
        <w:numPr>
          <w:ilvl w:val="0"/>
          <w:numId w:val="1"/>
        </w:numPr>
        <w:spacing w:line="420" w:lineRule="exact"/>
        <w:jc w:val="left"/>
        <w:rPr>
          <w:rFonts w:ascii="宋体" w:hAnsi="宋体" w:cs="宋体"/>
          <w:b/>
          <w:bCs/>
          <w:sz w:val="24"/>
        </w:rPr>
      </w:pPr>
      <w:r>
        <w:rPr>
          <w:rFonts w:hint="eastAsia" w:ascii="宋体" w:hAnsi="宋体" w:cs="宋体"/>
          <w:b/>
          <w:bCs/>
          <w:sz w:val="24"/>
        </w:rPr>
        <w:t xml:space="preserve">质量标准: 达到验收标准 </w:t>
      </w:r>
    </w:p>
    <w:p>
      <w:pPr>
        <w:numPr>
          <w:ilvl w:val="0"/>
          <w:numId w:val="1"/>
        </w:numPr>
        <w:spacing w:line="420" w:lineRule="exact"/>
        <w:jc w:val="left"/>
        <w:rPr>
          <w:rFonts w:ascii="宋体" w:hAnsi="宋体" w:cs="宋体"/>
          <w:b/>
          <w:bCs/>
          <w:sz w:val="24"/>
        </w:rPr>
      </w:pPr>
      <w:r>
        <w:rPr>
          <w:rFonts w:hint="eastAsia" w:ascii="宋体" w:hAnsi="宋体" w:cs="宋体"/>
          <w:b/>
          <w:bCs/>
          <w:sz w:val="24"/>
        </w:rPr>
        <w:t>供货周期要求：通知进场</w:t>
      </w:r>
      <w:r>
        <w:rPr>
          <w:rFonts w:ascii="宋体" w:hAnsi="宋体" w:cs="宋体"/>
          <w:b/>
          <w:bCs/>
          <w:sz w:val="24"/>
        </w:rPr>
        <w:t>30</w:t>
      </w:r>
      <w:r>
        <w:rPr>
          <w:rFonts w:hint="eastAsia" w:ascii="宋体" w:hAnsi="宋体" w:cs="宋体"/>
          <w:b/>
          <w:bCs/>
          <w:sz w:val="24"/>
        </w:rPr>
        <w:t>日天内达到竣工验收条件</w:t>
      </w:r>
    </w:p>
    <w:p>
      <w:pPr>
        <w:pStyle w:val="4"/>
        <w:spacing w:line="420" w:lineRule="exact"/>
        <w:rPr>
          <w:rFonts w:hAnsi="宋体" w:cs="宋体"/>
          <w:b/>
          <w:bCs/>
          <w:sz w:val="24"/>
        </w:rPr>
      </w:pPr>
      <w:r>
        <w:rPr>
          <w:rFonts w:hint="eastAsia" w:hAnsi="宋体" w:cs="宋体"/>
          <w:b/>
          <w:bCs/>
          <w:sz w:val="24"/>
        </w:rPr>
        <w:t xml:space="preserve">   4、工程概况</w:t>
      </w:r>
    </w:p>
    <w:p>
      <w:pPr>
        <w:spacing w:line="420" w:lineRule="exact"/>
        <w:ind w:firstLine="480" w:firstLineChars="200"/>
        <w:jc w:val="left"/>
        <w:rPr>
          <w:rFonts w:hAnsi="宋体" w:cs="宋体"/>
          <w:sz w:val="24"/>
        </w:rPr>
      </w:pPr>
      <w:r>
        <w:rPr>
          <w:rFonts w:hint="eastAsia" w:hAnsi="宋体" w:cs="宋体"/>
          <w:sz w:val="24"/>
        </w:rPr>
        <w:t xml:space="preserve">    </w:t>
      </w:r>
      <w:r>
        <w:rPr>
          <w:rFonts w:hint="eastAsia" w:hAnsi="宋体" w:cs="宋体"/>
          <w:b/>
          <w:bCs/>
          <w:sz w:val="24"/>
        </w:rPr>
        <w:t xml:space="preserve"> </w:t>
      </w:r>
      <w:r>
        <w:rPr>
          <w:rFonts w:hint="eastAsia" w:hAnsi="宋体" w:cs="宋体"/>
          <w:b/>
          <w:bCs/>
        </w:rPr>
        <w:t>工程名称</w:t>
      </w:r>
      <w:r>
        <w:rPr>
          <w:rFonts w:hint="eastAsia" w:hAnsi="宋体" w:cs="宋体"/>
          <w:b/>
          <w:bCs/>
          <w:sz w:val="24"/>
        </w:rPr>
        <w:t>：</w:t>
      </w:r>
      <w:r>
        <w:rPr>
          <w:rFonts w:hint="eastAsia" w:ascii="Times New Roman" w:hAnsi="宋体" w:cs="宋体"/>
          <w:sz w:val="24"/>
        </w:rPr>
        <w:t xml:space="preserve"> 河北省文艺家之家小剧场专项工程EPC总承包工程</w:t>
      </w:r>
    </w:p>
    <w:p>
      <w:pPr>
        <w:pStyle w:val="4"/>
        <w:spacing w:line="420" w:lineRule="exact"/>
        <w:ind w:firstLine="422" w:firstLineChars="200"/>
        <w:rPr>
          <w:rFonts w:hAnsi="宋体" w:cs="宋体"/>
          <w:sz w:val="24"/>
        </w:rPr>
      </w:pPr>
      <w:r>
        <w:rPr>
          <w:rFonts w:hint="eastAsia" w:hAnsi="宋体" w:cs="宋体"/>
          <w:b/>
          <w:bCs/>
        </w:rPr>
        <w:t>工程地址：</w:t>
      </w:r>
      <w:r>
        <w:rPr>
          <w:rFonts w:hint="eastAsia" w:ascii="Times New Roman" w:hAnsi="宋体" w:cs="宋体" w:eastAsiaTheme="minorEastAsia"/>
          <w:sz w:val="24"/>
          <w:szCs w:val="22"/>
        </w:rPr>
        <w:t>石家庄市正定新区新城大道 紧邻河北省园博园</w:t>
      </w:r>
    </w:p>
    <w:p>
      <w:pPr>
        <w:pStyle w:val="4"/>
        <w:numPr>
          <w:ilvl w:val="0"/>
          <w:numId w:val="2"/>
        </w:numPr>
        <w:spacing w:line="420" w:lineRule="exact"/>
        <w:rPr>
          <w:rFonts w:hAnsi="宋体" w:cs="宋体"/>
          <w:sz w:val="24"/>
        </w:rPr>
      </w:pPr>
      <w:r>
        <w:rPr>
          <w:rFonts w:hint="eastAsia" w:hAnsi="宋体" w:cs="宋体"/>
          <w:sz w:val="24"/>
        </w:rPr>
        <w:t>投标资格要求：</w:t>
      </w:r>
    </w:p>
    <w:p>
      <w:pPr>
        <w:pStyle w:val="4"/>
        <w:numPr>
          <w:ilvl w:val="0"/>
          <w:numId w:val="3"/>
        </w:numPr>
        <w:spacing w:line="420" w:lineRule="exact"/>
        <w:rPr>
          <w:rFonts w:hAnsi="宋体" w:cs="宋体"/>
          <w:sz w:val="24"/>
        </w:rPr>
      </w:pPr>
      <w:r>
        <w:rPr>
          <w:rFonts w:hint="eastAsia" w:hAnsi="宋体" w:cs="宋体"/>
          <w:sz w:val="24"/>
        </w:rPr>
        <w:t>投标人提供生产厂家资质证明文件及相关业绩并盖章，营业执照经营范围内必须包括投标材料内容。投标设备材料必须为投标人主营项。（有需要查看现场的必须查看现场后方可参与投标）</w:t>
      </w:r>
    </w:p>
    <w:p>
      <w:pPr>
        <w:pStyle w:val="4"/>
        <w:numPr>
          <w:ilvl w:val="0"/>
          <w:numId w:val="3"/>
        </w:numPr>
        <w:spacing w:line="420" w:lineRule="exact"/>
        <w:rPr>
          <w:rFonts w:hAnsi="宋体" w:cs="宋体"/>
          <w:sz w:val="24"/>
        </w:rPr>
      </w:pPr>
      <w:r>
        <w:rPr>
          <w:rFonts w:hint="eastAsia" w:hAnsi="宋体" w:cs="宋体"/>
          <w:bCs/>
          <w:kern w:val="0"/>
          <w:sz w:val="24"/>
          <w:u w:val="single"/>
          <w:shd w:val="clear" w:color="auto" w:fill="FFFFFF"/>
          <w:lang w:bidi="ar"/>
        </w:rPr>
        <w:t>投标人具有独立法人资格，持有工商管理部门核发的法人营业执照；</w:t>
      </w:r>
    </w:p>
    <w:p>
      <w:pPr>
        <w:spacing w:line="460" w:lineRule="exact"/>
        <w:ind w:firstLine="470" w:firstLineChars="196"/>
        <w:rPr>
          <w:rFonts w:ascii="楷体" w:hAnsi="楷体" w:eastAsia="楷体" w:cs="楷体"/>
          <w:b/>
          <w:bCs/>
          <w:sz w:val="24"/>
        </w:rPr>
      </w:pPr>
      <w:bookmarkStart w:id="0" w:name="_Toc226387921"/>
      <w:bookmarkStart w:id="1" w:name="_Toc226388165"/>
      <w:bookmarkStart w:id="2" w:name="_Toc226388022"/>
      <w:r>
        <w:rPr>
          <w:rFonts w:hint="eastAsia" w:hAnsi="宋体" w:cs="宋体"/>
          <w:sz w:val="24"/>
        </w:rPr>
        <w:t>三、付款方式：</w:t>
      </w:r>
    </w:p>
    <w:p>
      <w:pPr>
        <w:spacing w:line="460" w:lineRule="exact"/>
        <w:ind w:firstLine="482" w:firstLineChars="200"/>
        <w:rPr>
          <w:rFonts w:ascii="楷体" w:hAnsi="楷体" w:eastAsia="楷体" w:cs="楷体"/>
          <w:b/>
          <w:bCs/>
          <w:sz w:val="24"/>
        </w:rPr>
      </w:pPr>
      <w:r>
        <w:rPr>
          <w:rFonts w:hint="eastAsia" w:ascii="楷体" w:hAnsi="楷体" w:eastAsia="楷体" w:cs="楷体"/>
          <w:b/>
          <w:bCs/>
          <w:sz w:val="24"/>
        </w:rPr>
        <w:t>在建设单位资金到位的情况下,</w:t>
      </w:r>
    </w:p>
    <w:p>
      <w:pPr>
        <w:spacing w:line="460" w:lineRule="exact"/>
        <w:ind w:firstLine="480" w:firstLineChars="200"/>
        <w:rPr>
          <w:rFonts w:ascii="楷体" w:hAnsi="楷体" w:eastAsia="楷体" w:cs="楷体"/>
          <w:color w:val="FF0000"/>
          <w:sz w:val="24"/>
        </w:rPr>
      </w:pPr>
      <w:r>
        <w:rPr>
          <w:rFonts w:hint="eastAsia" w:ascii="楷体" w:hAnsi="楷体" w:eastAsia="楷体" w:cs="楷体"/>
          <w:sz w:val="24"/>
        </w:rPr>
        <w:t>（1）预付款支付比例或金额： 合同金额的30%。预付款支付期限：合同签订后2周内 。</w:t>
      </w:r>
      <w:r>
        <w:rPr>
          <w:rFonts w:hint="eastAsia" w:ascii="楷体" w:hAnsi="楷体" w:eastAsia="楷体" w:cs="楷体"/>
          <w:color w:val="FF0000"/>
          <w:sz w:val="24"/>
        </w:rPr>
        <w:t>预付款支付前需提供相应额度的履约保函</w:t>
      </w:r>
    </w:p>
    <w:p>
      <w:pPr>
        <w:spacing w:line="460" w:lineRule="exact"/>
        <w:ind w:firstLine="480" w:firstLineChars="200"/>
        <w:rPr>
          <w:rFonts w:ascii="楷体" w:hAnsi="楷体" w:eastAsia="楷体" w:cs="楷体"/>
          <w:sz w:val="24"/>
        </w:rPr>
      </w:pPr>
      <w:r>
        <w:rPr>
          <w:rFonts w:hint="eastAsia" w:ascii="楷体" w:hAnsi="楷体" w:eastAsia="楷体" w:cs="楷体"/>
          <w:sz w:val="24"/>
        </w:rPr>
        <w:t>（2）进度款请款报告提交时间：</w:t>
      </w:r>
    </w:p>
    <w:p>
      <w:pPr>
        <w:spacing w:line="460" w:lineRule="exact"/>
        <w:ind w:firstLine="480" w:firstLineChars="200"/>
        <w:rPr>
          <w:rFonts w:ascii="楷体" w:hAnsi="楷体" w:eastAsia="楷体" w:cs="楷体"/>
          <w:sz w:val="24"/>
        </w:rPr>
      </w:pPr>
      <w:r>
        <w:rPr>
          <w:rFonts w:hint="eastAsia" w:ascii="楷体" w:hAnsi="楷体" w:eastAsia="楷体" w:cs="楷体"/>
          <w:sz w:val="24"/>
        </w:rPr>
        <w:t>供应商应根据工程进展达到下述条件后向承包人提交请款报表。</w:t>
      </w:r>
    </w:p>
    <w:p>
      <w:pPr>
        <w:spacing w:line="460" w:lineRule="exact"/>
        <w:ind w:firstLine="480" w:firstLineChars="200"/>
        <w:rPr>
          <w:rFonts w:ascii="楷体" w:hAnsi="楷体" w:eastAsia="楷体" w:cs="楷体"/>
          <w:sz w:val="24"/>
        </w:rPr>
      </w:pPr>
      <w:r>
        <w:rPr>
          <w:rFonts w:hint="eastAsia" w:ascii="楷体" w:hAnsi="楷体" w:eastAsia="楷体" w:cs="楷体"/>
          <w:sz w:val="24"/>
        </w:rPr>
        <w:t>（3）进度款支付时间和方式</w:t>
      </w:r>
    </w:p>
    <w:p>
      <w:pPr>
        <w:spacing w:line="460" w:lineRule="exact"/>
        <w:ind w:firstLine="480" w:firstLineChars="200"/>
        <w:rPr>
          <w:rFonts w:ascii="楷体" w:hAnsi="楷体" w:eastAsia="楷体" w:cs="楷体"/>
          <w:sz w:val="24"/>
        </w:rPr>
      </w:pPr>
      <w:r>
        <w:rPr>
          <w:rFonts w:hint="eastAsia" w:ascii="楷体" w:hAnsi="楷体" w:eastAsia="楷体" w:cs="楷体"/>
          <w:sz w:val="24"/>
        </w:rPr>
        <w:t>①支付时间。承包人收到相关审核人员审核签字同意且承包人收到业主相应进度款后15天内支付。支付前需扣除如下款项：</w:t>
      </w:r>
    </w:p>
    <w:p>
      <w:pPr>
        <w:spacing w:line="460" w:lineRule="exact"/>
        <w:ind w:firstLine="480" w:firstLineChars="200"/>
        <w:rPr>
          <w:rFonts w:ascii="楷体" w:hAnsi="楷体" w:eastAsia="楷体" w:cs="楷体"/>
          <w:sz w:val="24"/>
        </w:rPr>
      </w:pPr>
      <w:r>
        <w:rPr>
          <w:rFonts w:hint="eastAsia" w:ascii="楷体" w:hAnsi="楷体" w:eastAsia="楷体" w:cs="楷体"/>
          <w:sz w:val="24"/>
        </w:rPr>
        <w:t>A.质量保修金：当月已完工程工作量的0 %</w:t>
      </w:r>
    </w:p>
    <w:p>
      <w:pPr>
        <w:spacing w:line="460" w:lineRule="exact"/>
        <w:ind w:firstLine="480" w:firstLineChars="200"/>
        <w:rPr>
          <w:rFonts w:ascii="楷体" w:hAnsi="楷体" w:eastAsia="楷体" w:cs="楷体"/>
          <w:sz w:val="24"/>
        </w:rPr>
      </w:pPr>
      <w:r>
        <w:rPr>
          <w:rFonts w:hint="eastAsia" w:ascii="楷体" w:hAnsi="楷体" w:eastAsia="楷体" w:cs="楷体"/>
          <w:sz w:val="24"/>
        </w:rPr>
        <w:t xml:space="preserve">B.预付款：按比例扣减           </w:t>
      </w:r>
    </w:p>
    <w:p>
      <w:pPr>
        <w:spacing w:line="460" w:lineRule="exact"/>
        <w:ind w:firstLine="480" w:firstLineChars="200"/>
        <w:rPr>
          <w:rFonts w:ascii="楷体" w:hAnsi="楷体" w:eastAsia="楷体" w:cs="楷体"/>
          <w:sz w:val="24"/>
        </w:rPr>
      </w:pPr>
      <w:r>
        <w:rPr>
          <w:rFonts w:hint="eastAsia" w:ascii="楷体" w:hAnsi="楷体" w:eastAsia="楷体" w:cs="楷体"/>
          <w:sz w:val="24"/>
        </w:rPr>
        <w:t>C. 根据合同应予扣除的其它金额。</w:t>
      </w:r>
    </w:p>
    <w:p>
      <w:pPr>
        <w:spacing w:line="460" w:lineRule="exact"/>
        <w:ind w:firstLine="480" w:firstLineChars="200"/>
        <w:rPr>
          <w:rFonts w:ascii="楷体" w:hAnsi="楷体" w:eastAsia="楷体" w:cs="楷体"/>
          <w:sz w:val="24"/>
        </w:rPr>
      </w:pPr>
      <w:r>
        <w:rPr>
          <w:rFonts w:hint="eastAsia" w:ascii="楷体" w:hAnsi="楷体" w:eastAsia="楷体" w:cs="楷体"/>
          <w:sz w:val="24"/>
        </w:rPr>
        <w:t xml:space="preserve">②支付比例。扣除上述款项后，在承包人收到建设单位相应工程款后，进度款支付比例如下: （付款比例不得超过总包合同付款比例）: </w:t>
      </w:r>
    </w:p>
    <w:p>
      <w:pPr>
        <w:spacing w:line="460" w:lineRule="exact"/>
        <w:ind w:firstLine="480" w:firstLineChars="200"/>
        <w:rPr>
          <w:rFonts w:ascii="楷体" w:hAnsi="楷体" w:eastAsia="楷体" w:cs="楷体"/>
          <w:sz w:val="24"/>
        </w:rPr>
      </w:pPr>
      <w:r>
        <w:rPr>
          <w:rFonts w:hint="eastAsia" w:ascii="楷体" w:hAnsi="楷体" w:eastAsia="楷体" w:cs="楷体"/>
          <w:sz w:val="24"/>
        </w:rPr>
        <w:t>A.每次应支付价款为审批后当月已完工程进度款的 85％；</w:t>
      </w:r>
    </w:p>
    <w:p>
      <w:pPr>
        <w:spacing w:line="460" w:lineRule="exact"/>
        <w:ind w:firstLine="480" w:firstLineChars="200"/>
        <w:rPr>
          <w:rFonts w:ascii="楷体" w:hAnsi="楷体" w:eastAsia="楷体" w:cs="楷体"/>
          <w:sz w:val="24"/>
        </w:rPr>
      </w:pPr>
      <w:r>
        <w:rPr>
          <w:rFonts w:hint="eastAsia" w:ascii="楷体" w:hAnsi="楷体" w:eastAsia="楷体" w:cs="楷体"/>
          <w:sz w:val="24"/>
        </w:rPr>
        <w:t>B.当工程款累计付到合同总价款的85% 时暂停支付</w:t>
      </w:r>
    </w:p>
    <w:p>
      <w:pPr>
        <w:spacing w:line="460" w:lineRule="exact"/>
        <w:ind w:firstLine="480" w:firstLineChars="200"/>
        <w:rPr>
          <w:rFonts w:ascii="楷体" w:hAnsi="楷体" w:eastAsia="楷体" w:cs="楷体"/>
          <w:sz w:val="24"/>
        </w:rPr>
      </w:pPr>
      <w:r>
        <w:rPr>
          <w:rFonts w:hint="eastAsia" w:ascii="楷体" w:hAnsi="楷体" w:eastAsia="楷体" w:cs="楷体"/>
          <w:sz w:val="24"/>
        </w:rPr>
        <w:t>C.竣/交工结算且经审计机构审计合格后支付到本供应商工程竣工结算额的97％；</w:t>
      </w:r>
    </w:p>
    <w:p>
      <w:pPr>
        <w:spacing w:line="460" w:lineRule="exact"/>
        <w:ind w:firstLine="480" w:firstLineChars="200"/>
        <w:rPr>
          <w:rFonts w:ascii="楷体" w:hAnsi="楷体" w:eastAsia="楷体" w:cs="楷体"/>
          <w:sz w:val="24"/>
        </w:rPr>
      </w:pPr>
      <w:r>
        <w:rPr>
          <w:rFonts w:hint="eastAsia" w:ascii="楷体" w:hAnsi="楷体" w:eastAsia="楷体" w:cs="楷体"/>
          <w:sz w:val="24"/>
        </w:rPr>
        <w:t>D.剩余的竣/交工结算金额的3％为质量保修金，按照质量保修金的相应条款支付。</w:t>
      </w:r>
    </w:p>
    <w:p>
      <w:pPr>
        <w:spacing w:line="460" w:lineRule="exact"/>
        <w:ind w:firstLine="480" w:firstLineChars="200"/>
        <w:rPr>
          <w:rFonts w:ascii="楷体" w:hAnsi="楷体" w:eastAsia="楷体" w:cs="楷体"/>
          <w:sz w:val="24"/>
        </w:rPr>
      </w:pPr>
      <w:r>
        <w:rPr>
          <w:rFonts w:hint="eastAsia" w:ascii="楷体" w:hAnsi="楷体" w:eastAsia="楷体" w:cs="楷体"/>
          <w:sz w:val="24"/>
        </w:rPr>
        <w:t>④支付上述款项前，供应商应向承包人提供相应金额合法有效发票。否则承包人有权不予支付工程款。</w:t>
      </w:r>
    </w:p>
    <w:p>
      <w:pPr>
        <w:spacing w:line="460" w:lineRule="exact"/>
        <w:ind w:firstLine="480" w:firstLineChars="200"/>
        <w:rPr>
          <w:rFonts w:ascii="楷体" w:hAnsi="楷体" w:eastAsia="楷体" w:cs="楷体"/>
          <w:sz w:val="24"/>
        </w:rPr>
      </w:pPr>
      <w:r>
        <w:rPr>
          <w:rFonts w:hint="eastAsia" w:ascii="楷体" w:hAnsi="楷体" w:eastAsia="楷体" w:cs="楷体"/>
          <w:sz w:val="24"/>
        </w:rPr>
        <w:t>⑤ 在进度款支付过程中，乙方提交资金使用明细并在甲方监控中使用。</w:t>
      </w:r>
    </w:p>
    <w:p>
      <w:pPr>
        <w:spacing w:line="460" w:lineRule="exact"/>
        <w:ind w:firstLine="480" w:firstLineChars="200"/>
        <w:rPr>
          <w:rFonts w:ascii="楷体" w:hAnsi="楷体" w:eastAsia="楷体" w:cs="楷体"/>
          <w:sz w:val="24"/>
        </w:rPr>
      </w:pPr>
      <w:r>
        <w:rPr>
          <w:rFonts w:hint="eastAsia" w:ascii="楷体" w:hAnsi="楷体" w:eastAsia="楷体" w:cs="楷体"/>
          <w:sz w:val="24"/>
        </w:rPr>
        <w:t>⑥承包人已就本工程业主支付、结算条款向供应商 作出详细说明，供应商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460" w:lineRule="exact"/>
        <w:ind w:firstLine="480" w:firstLineChars="200"/>
        <w:rPr>
          <w:rFonts w:ascii="楷体" w:hAnsi="楷体" w:eastAsia="楷体" w:cs="楷体"/>
          <w:sz w:val="24"/>
        </w:rPr>
      </w:pPr>
      <w:r>
        <w:rPr>
          <w:rFonts w:hint="eastAsia" w:ascii="楷体" w:hAnsi="楷体" w:eastAsia="楷体" w:cs="楷体"/>
          <w:sz w:val="24"/>
        </w:rPr>
        <w:t>（4）质量保证金的返还</w:t>
      </w:r>
    </w:p>
    <w:p>
      <w:pPr>
        <w:spacing w:line="460" w:lineRule="exact"/>
        <w:ind w:firstLine="480" w:firstLineChars="200"/>
        <w:rPr>
          <w:rFonts w:ascii="楷体" w:hAnsi="楷体" w:eastAsia="楷体" w:cs="楷体"/>
          <w:sz w:val="24"/>
        </w:rPr>
      </w:pPr>
      <w:r>
        <w:rPr>
          <w:rFonts w:hint="eastAsia" w:ascii="楷体" w:hAnsi="楷体" w:eastAsia="楷体" w:cs="楷体"/>
          <w:sz w:val="24"/>
        </w:rPr>
        <w:t>质量保证金为合同结算价的3% ，保修期为自本工程全部竣工验收通过之日起 24 个月（按照承包人与业主合同中的保修时间约定本合同的保修时间）。保修期满且承包人在收到供应商提交返还保修金申请后，扣除相关维修费用和鉴定费用（如有）并经承包人确认且承包人收到业主返还的质量保修金后无息返还保修金。</w:t>
      </w:r>
    </w:p>
    <w:p>
      <w:pPr>
        <w:spacing w:line="460" w:lineRule="exact"/>
        <w:ind w:firstLine="480" w:firstLineChars="200"/>
        <w:rPr>
          <w:rFonts w:ascii="楷体" w:hAnsi="楷体" w:eastAsia="楷体" w:cs="楷体"/>
          <w:sz w:val="24"/>
        </w:rPr>
      </w:pPr>
      <w:r>
        <w:rPr>
          <w:rFonts w:hint="eastAsia" w:ascii="楷体" w:hAnsi="楷体" w:eastAsia="楷体" w:cs="楷体"/>
          <w:sz w:val="24"/>
        </w:rPr>
        <w:t>如果供应商尚有部分保修工作未完成，则承包人有权在上述工作完成之前扣除与完成工作所需费用相应的金额的付款。</w:t>
      </w:r>
    </w:p>
    <w:p>
      <w:pPr>
        <w:spacing w:after="156" w:afterLines="50" w:line="288" w:lineRule="auto"/>
        <w:ind w:right="278"/>
        <w:jc w:val="left"/>
        <w:outlineLvl w:val="0"/>
        <w:rPr>
          <w:rFonts w:ascii="宋体" w:hAnsi="宋体" w:eastAsia="宋体" w:cs="宋体"/>
          <w:sz w:val="24"/>
          <w:szCs w:val="24"/>
        </w:rPr>
      </w:pPr>
    </w:p>
    <w:p>
      <w:pPr>
        <w:pStyle w:val="13"/>
        <w:numPr>
          <w:ilvl w:val="0"/>
          <w:numId w:val="4"/>
        </w:numPr>
        <w:spacing w:line="420" w:lineRule="exact"/>
        <w:jc w:val="left"/>
        <w:rPr>
          <w:rFonts w:ascii="宋体" w:hAnsi="宋体" w:cs="宋体"/>
          <w:sz w:val="24"/>
          <w:szCs w:val="24"/>
        </w:rPr>
      </w:pPr>
      <w:r>
        <w:rPr>
          <w:rFonts w:hint="eastAsia" w:ascii="宋体" w:hAnsi="宋体" w:cs="宋体"/>
          <w:sz w:val="24"/>
          <w:szCs w:val="24"/>
        </w:rPr>
        <w:t>招标方式及评标办法：</w:t>
      </w:r>
    </w:p>
    <w:p>
      <w:pPr>
        <w:pStyle w:val="13"/>
        <w:numPr>
          <w:ilvl w:val="1"/>
          <w:numId w:val="4"/>
        </w:numPr>
        <w:spacing w:line="420" w:lineRule="exact"/>
        <w:jc w:val="left"/>
        <w:rPr>
          <w:rFonts w:ascii="宋体" w:hAnsi="宋体" w:cs="宋体"/>
          <w:color w:val="FF0000"/>
          <w:sz w:val="24"/>
          <w:szCs w:val="24"/>
        </w:rPr>
      </w:pPr>
      <w:r>
        <w:rPr>
          <w:rFonts w:hint="eastAsia" w:ascii="宋体" w:hAnsi="宋体" w:cs="宋体"/>
          <w:color w:val="FF0000"/>
          <w:sz w:val="24"/>
          <w:szCs w:val="24"/>
        </w:rPr>
        <w:t>招标方式：公开招标，通过河北建工物流中采网招标工作平台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pStyle w:val="13"/>
        <w:numPr>
          <w:ilvl w:val="1"/>
          <w:numId w:val="4"/>
        </w:numPr>
        <w:spacing w:line="420" w:lineRule="exact"/>
        <w:jc w:val="left"/>
        <w:rPr>
          <w:rFonts w:ascii="宋体" w:hAnsi="宋体" w:cs="宋体"/>
          <w:b/>
          <w:bCs/>
          <w:color w:val="FF0000"/>
          <w:sz w:val="24"/>
          <w:szCs w:val="24"/>
        </w:rPr>
      </w:pPr>
      <w:r>
        <w:rPr>
          <w:rFonts w:hint="eastAsia" w:ascii="宋体" w:hAnsi="宋体" w:cs="宋体"/>
          <w:sz w:val="24"/>
          <w:szCs w:val="24"/>
        </w:rPr>
        <w:t>评标办法：</w:t>
      </w:r>
      <w:r>
        <w:rPr>
          <w:rFonts w:hint="eastAsia" w:ascii="宋体" w:hAnsi="宋体" w:cs="宋体"/>
          <w:b/>
          <w:bCs/>
          <w:color w:val="FF0000"/>
          <w:sz w:val="24"/>
          <w:szCs w:val="24"/>
        </w:rPr>
        <w:t>三者价格依次最低者进入议标阶段。</w:t>
      </w:r>
    </w:p>
    <w:p>
      <w:pPr>
        <w:widowControl/>
        <w:numPr>
          <w:ilvl w:val="0"/>
          <w:numId w:val="5"/>
        </w:numPr>
        <w:spacing w:line="420" w:lineRule="exact"/>
        <w:jc w:val="left"/>
        <w:rPr>
          <w:rFonts w:ascii="宋体" w:hAnsi="宋体" w:cs="宋体"/>
          <w:kern w:val="0"/>
          <w:sz w:val="24"/>
        </w:rPr>
      </w:pPr>
      <w:r>
        <w:rPr>
          <w:rFonts w:hint="eastAsia" w:ascii="宋体" w:hAnsi="宋体" w:cs="宋体"/>
          <w:kern w:val="0"/>
          <w:sz w:val="24"/>
        </w:rPr>
        <w:t>废标条件</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1）低于成本恶性竞争的； </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2）与其他投标人相互串通报价，或者与招标人串通投标的；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3）中标后没有能力履行合同的； </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4）未按招标文件约定报价的；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5）招标第一阶段供应商低于三家的；</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6）所报单价高于我公司市场询价一定比例的，如：</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单价500元以内的，报价高于公司询价5%；</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单价500元以上1000元以内的，报价高于公司询价4%；</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单价1000元以上2000元以内的，报价高于公司询价3%；</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单价2000元以上4500元以内的，报价高于公司询价2%；</w:t>
      </w:r>
    </w:p>
    <w:p>
      <w:pPr>
        <w:pStyle w:val="13"/>
        <w:spacing w:line="420" w:lineRule="exact"/>
        <w:ind w:firstLine="480" w:firstLineChars="200"/>
        <w:jc w:val="left"/>
        <w:rPr>
          <w:rFonts w:ascii="宋体" w:hAnsi="宋体" w:cs="宋体"/>
          <w:sz w:val="24"/>
          <w:szCs w:val="24"/>
        </w:rPr>
      </w:pPr>
      <w:r>
        <w:rPr>
          <w:rFonts w:hint="eastAsia" w:ascii="宋体" w:hAnsi="宋体" w:cs="宋体"/>
          <w:sz w:val="24"/>
          <w:szCs w:val="24"/>
        </w:rPr>
        <w:t>单价4500元以上的，报价高于公司询价1%；</w:t>
      </w:r>
    </w:p>
    <w:p>
      <w:pPr>
        <w:pStyle w:val="13"/>
        <w:numPr>
          <w:ilvl w:val="0"/>
          <w:numId w:val="6"/>
        </w:numPr>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无厂家、无授权、无加工厂地、无类似业绩等供应商禁止投标，禁止中标后根据中标价格联系转包其他供应商。</w:t>
      </w:r>
    </w:p>
    <w:p>
      <w:pPr>
        <w:pStyle w:val="13"/>
        <w:spacing w:line="420" w:lineRule="exact"/>
        <w:jc w:val="left"/>
        <w:rPr>
          <w:rFonts w:ascii="宋体" w:hAnsi="宋体" w:cs="宋体"/>
          <w:sz w:val="24"/>
          <w:szCs w:val="24"/>
        </w:rPr>
      </w:pPr>
      <w:r>
        <w:rPr>
          <w:rFonts w:hint="eastAsia" w:ascii="宋体" w:hAnsi="宋体" w:cs="宋体"/>
          <w:sz w:val="24"/>
          <w:szCs w:val="24"/>
        </w:rPr>
        <w:t>六、招投标时间</w:t>
      </w:r>
    </w:p>
    <w:p>
      <w:pPr>
        <w:pStyle w:val="13"/>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招标公告公示时间：202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3</w:t>
      </w:r>
      <w:r>
        <w:rPr>
          <w:rFonts w:hint="eastAsia" w:ascii="宋体" w:hAnsi="宋体" w:cs="宋体"/>
          <w:color w:val="FF0000"/>
          <w:sz w:val="24"/>
          <w:szCs w:val="24"/>
        </w:rPr>
        <w:t>月</w:t>
      </w:r>
      <w:r>
        <w:rPr>
          <w:rFonts w:ascii="宋体" w:hAnsi="宋体" w:cs="宋体"/>
          <w:color w:val="FF0000"/>
          <w:sz w:val="24"/>
          <w:szCs w:val="24"/>
        </w:rPr>
        <w:t>24</w:t>
      </w:r>
      <w:r>
        <w:rPr>
          <w:rFonts w:hint="eastAsia" w:ascii="宋体" w:hAnsi="宋体" w:cs="宋体"/>
          <w:color w:val="FF0000"/>
          <w:sz w:val="24"/>
          <w:szCs w:val="24"/>
        </w:rPr>
        <w:t>日</w:t>
      </w:r>
    </w:p>
    <w:p>
      <w:pPr>
        <w:pStyle w:val="13"/>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报名截止时间：202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3</w:t>
      </w:r>
      <w:r>
        <w:rPr>
          <w:rFonts w:hint="eastAsia" w:ascii="宋体" w:hAnsi="宋体" w:cs="宋体"/>
          <w:color w:val="FF0000"/>
          <w:sz w:val="24"/>
          <w:szCs w:val="24"/>
        </w:rPr>
        <w:t>月</w:t>
      </w:r>
      <w:r>
        <w:rPr>
          <w:rFonts w:ascii="宋体" w:hAnsi="宋体" w:cs="宋体"/>
          <w:color w:val="FF0000"/>
          <w:sz w:val="24"/>
          <w:szCs w:val="24"/>
        </w:rPr>
        <w:t>2</w:t>
      </w:r>
      <w:r>
        <w:rPr>
          <w:rFonts w:hint="eastAsia" w:ascii="宋体" w:hAnsi="宋体" w:cs="宋体"/>
          <w:color w:val="FF0000"/>
          <w:sz w:val="24"/>
          <w:szCs w:val="24"/>
          <w:lang w:val="en-US" w:eastAsia="zh-CN"/>
        </w:rPr>
        <w:t>8</w:t>
      </w:r>
      <w:bookmarkStart w:id="3" w:name="_GoBack"/>
      <w:bookmarkEnd w:id="3"/>
      <w:r>
        <w:rPr>
          <w:rFonts w:hint="eastAsia" w:ascii="宋体" w:hAnsi="宋体" w:cs="宋体"/>
          <w:color w:val="FF0000"/>
          <w:sz w:val="24"/>
          <w:szCs w:val="24"/>
        </w:rPr>
        <w:t>日下午</w:t>
      </w:r>
      <w:r>
        <w:rPr>
          <w:rFonts w:ascii="宋体" w:hAnsi="宋体" w:cs="宋体"/>
          <w:color w:val="FF0000"/>
          <w:sz w:val="24"/>
          <w:szCs w:val="24"/>
        </w:rPr>
        <w:t>5</w:t>
      </w:r>
      <w:r>
        <w:rPr>
          <w:rFonts w:hint="eastAsia" w:ascii="宋体" w:hAnsi="宋体" w:cs="宋体"/>
          <w:color w:val="FF0000"/>
          <w:sz w:val="24"/>
          <w:szCs w:val="24"/>
        </w:rPr>
        <w:t>点</w:t>
      </w:r>
    </w:p>
    <w:p>
      <w:pPr>
        <w:spacing w:line="420" w:lineRule="exact"/>
        <w:rPr>
          <w:rFonts w:ascii="宋体" w:hAnsi="宋体" w:eastAsia="宋体" w:cs="宋体"/>
          <w:sz w:val="24"/>
        </w:rPr>
      </w:pPr>
      <w:r>
        <w:rPr>
          <w:rFonts w:hint="eastAsia" w:ascii="宋体" w:hAnsi="宋体" w:cs="宋体"/>
          <w:color w:val="FF0000"/>
          <w:sz w:val="24"/>
        </w:rPr>
        <w:t xml:space="preserve">    竞标时间：202</w:t>
      </w:r>
      <w:r>
        <w:rPr>
          <w:rFonts w:ascii="宋体" w:hAnsi="宋体" w:cs="宋体"/>
          <w:color w:val="FF0000"/>
          <w:sz w:val="24"/>
        </w:rPr>
        <w:t>3</w:t>
      </w:r>
      <w:r>
        <w:rPr>
          <w:rFonts w:hint="eastAsia" w:ascii="宋体" w:hAnsi="宋体" w:cs="宋体"/>
          <w:color w:val="FF0000"/>
          <w:sz w:val="24"/>
        </w:rPr>
        <w:t>年</w:t>
      </w:r>
      <w:r>
        <w:rPr>
          <w:rFonts w:ascii="宋体" w:hAnsi="宋体" w:cs="宋体"/>
          <w:color w:val="FF0000"/>
          <w:sz w:val="24"/>
        </w:rPr>
        <w:t>3</w:t>
      </w:r>
      <w:r>
        <w:rPr>
          <w:rFonts w:hint="eastAsia" w:ascii="宋体" w:hAnsi="宋体" w:cs="宋体"/>
          <w:color w:val="FF0000"/>
          <w:sz w:val="24"/>
        </w:rPr>
        <w:t>月</w:t>
      </w:r>
      <w:r>
        <w:rPr>
          <w:rFonts w:ascii="宋体" w:hAnsi="宋体" w:cs="宋体"/>
          <w:color w:val="FF0000"/>
          <w:sz w:val="24"/>
        </w:rPr>
        <w:t>2</w:t>
      </w:r>
      <w:r>
        <w:rPr>
          <w:rFonts w:hint="eastAsia" w:ascii="宋体" w:hAnsi="宋体" w:cs="宋体"/>
          <w:color w:val="FF0000"/>
          <w:sz w:val="24"/>
          <w:lang w:val="en-US" w:eastAsia="zh-CN"/>
        </w:rPr>
        <w:t>9</w:t>
      </w:r>
      <w:r>
        <w:rPr>
          <w:rFonts w:hint="eastAsia" w:ascii="宋体" w:hAnsi="宋体" w:cs="宋体"/>
          <w:color w:val="FF0000"/>
          <w:sz w:val="24"/>
        </w:rPr>
        <w:t>日</w:t>
      </w:r>
    </w:p>
    <w:p>
      <w:pPr>
        <w:pStyle w:val="13"/>
        <w:spacing w:line="420" w:lineRule="exact"/>
        <w:ind w:left="210" w:leftChars="100" w:firstLine="240" w:firstLineChars="100"/>
        <w:jc w:val="left"/>
        <w:rPr>
          <w:rFonts w:ascii="宋体" w:hAnsi="宋体" w:cs="宋体"/>
          <w:sz w:val="24"/>
          <w:szCs w:val="24"/>
        </w:rPr>
      </w:pPr>
      <w:r>
        <w:rPr>
          <w:rFonts w:hint="eastAsia" w:ascii="宋体" w:hAnsi="宋体" w:cs="宋体"/>
          <w:sz w:val="24"/>
          <w:szCs w:val="24"/>
        </w:rPr>
        <w:t>公司地址：河北省石家庄市友谊北大街</w:t>
      </w:r>
      <w:r>
        <w:rPr>
          <w:rFonts w:ascii="宋体" w:hAnsi="宋体" w:cs="宋体"/>
          <w:sz w:val="24"/>
          <w:szCs w:val="24"/>
        </w:rPr>
        <w:t>146号</w:t>
      </w:r>
      <w:r>
        <w:rPr>
          <w:rFonts w:hint="eastAsia" w:ascii="宋体" w:hAnsi="宋体" w:cs="宋体"/>
          <w:sz w:val="24"/>
          <w:szCs w:val="24"/>
        </w:rPr>
        <w:t>河北建工集团有限责任公司</w:t>
      </w:r>
    </w:p>
    <w:p>
      <w:pPr>
        <w:pStyle w:val="13"/>
        <w:spacing w:line="420" w:lineRule="exact"/>
        <w:ind w:left="210" w:leftChars="100" w:firstLine="240" w:firstLineChars="100"/>
        <w:jc w:val="left"/>
        <w:rPr>
          <w:rFonts w:ascii="宋体" w:hAnsi="宋体" w:cs="宋体"/>
          <w:sz w:val="24"/>
        </w:rPr>
      </w:pPr>
      <w:r>
        <w:rPr>
          <w:rFonts w:hint="eastAsia" w:ascii="宋体" w:hAnsi="宋体" w:cs="宋体"/>
          <w:sz w:val="24"/>
        </w:rPr>
        <w:t>现场联系人：黄乐乐            联系电话：</w:t>
      </w:r>
      <w:r>
        <w:rPr>
          <w:rFonts w:hint="eastAsia" w:ascii="宋体" w:hAnsi="宋体"/>
          <w:sz w:val="24"/>
        </w:rPr>
        <w:t>15933779906</w:t>
      </w:r>
    </w:p>
    <w:p>
      <w:pPr>
        <w:spacing w:line="420" w:lineRule="exact"/>
        <w:ind w:firstLine="480" w:firstLineChars="200"/>
        <w:rPr>
          <w:rFonts w:ascii="宋体" w:hAnsi="宋体" w:cs="宋体"/>
          <w:sz w:val="28"/>
          <w:szCs w:val="28"/>
        </w:rPr>
      </w:pPr>
      <w:r>
        <w:rPr>
          <w:rFonts w:hint="eastAsia" w:ascii="宋体" w:hAnsi="宋体" w:cs="宋体"/>
          <w:sz w:val="24"/>
        </w:rPr>
        <w:t xml:space="preserve">招标操作联系人：王圆圆           联系电话：13149431141    </w:t>
      </w:r>
    </w:p>
    <w:p>
      <w:pPr>
        <w:keepNext/>
        <w:pageBreakBefore/>
        <w:spacing w:before="156" w:beforeLines="50" w:after="156" w:afterLines="50" w:line="520" w:lineRule="exact"/>
        <w:ind w:right="278"/>
        <w:jc w:val="center"/>
        <w:outlineLvl w:val="0"/>
        <w:rPr>
          <w:rFonts w:ascii="宋体" w:hAnsi="宋体" w:cs="宋体"/>
          <w:sz w:val="32"/>
        </w:rPr>
      </w:pPr>
      <w:r>
        <w:rPr>
          <w:rFonts w:hint="eastAsia" w:ascii="宋体" w:hAnsi="宋体" w:cs="宋体"/>
          <w:b/>
          <w:color w:val="000000"/>
          <w:spacing w:val="8"/>
          <w:sz w:val="36"/>
          <w:szCs w:val="36"/>
        </w:rPr>
        <w:t>投标须知</w:t>
      </w:r>
      <w:bookmarkEnd w:id="0"/>
      <w:bookmarkEnd w:id="1"/>
      <w:bookmarkEnd w:id="2"/>
    </w:p>
    <w:p>
      <w:pPr>
        <w:spacing w:line="500" w:lineRule="exact"/>
        <w:ind w:firstLine="480" w:firstLineChars="200"/>
        <w:rPr>
          <w:rFonts w:ascii="宋体" w:hAnsi="宋体" w:cs="宋体"/>
          <w:sz w:val="24"/>
        </w:rPr>
      </w:pPr>
      <w:r>
        <w:rPr>
          <w:rFonts w:hint="eastAsia" w:ascii="宋体" w:hAnsi="宋体" w:cs="宋体"/>
          <w:sz w:val="24"/>
        </w:rPr>
        <w:t>1.投标报价</w:t>
      </w:r>
    </w:p>
    <w:p>
      <w:pPr>
        <w:jc w:val="left"/>
        <w:rPr>
          <w:rFonts w:ascii="宋体" w:hAnsi="宋体" w:cs="宋体"/>
          <w:sz w:val="24"/>
        </w:rPr>
      </w:pPr>
      <w:r>
        <w:rPr>
          <w:rFonts w:hint="eastAsia" w:ascii="宋体" w:hAnsi="宋体" w:cs="宋体"/>
          <w:sz w:val="24"/>
        </w:rPr>
        <w:t>1.1本次招标的材料的报价应包含：合格货物到达用户指定交货地点以及售后服务的一切费用，</w:t>
      </w:r>
      <w:r>
        <w:rPr>
          <w:rFonts w:hint="eastAsia" w:ascii="宋体" w:hAnsi="宋体" w:cs="宋体"/>
          <w:b/>
          <w:bCs/>
          <w:color w:val="FF0000"/>
          <w:sz w:val="24"/>
        </w:rPr>
        <w:t>即</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二次深化设计、施工及保修包含的全部工作内容；</w:t>
      </w: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承包范围内所需要的主材费、辅助材料费、人工费、机械费、二次搬运费、机具、工具用具等应计取的费用；</w:t>
      </w: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 xml:space="preserve">组织措施费、企业管理费、利润、税金及各种规费； </w:t>
      </w:r>
      <w:r>
        <w:rPr>
          <w:rFonts w:hint="eastAsia" w:ascii="宋体" w:hAnsi="宋体" w:cs="宋体"/>
          <w:sz w:val="24"/>
        </w:rPr>
        <w:fldChar w:fldCharType="begin"/>
      </w:r>
      <w:r>
        <w:rPr>
          <w:rFonts w:hint="eastAsia" w:ascii="宋体" w:hAnsi="宋体" w:cs="宋体"/>
          <w:sz w:val="24"/>
        </w:rPr>
        <w:instrText xml:space="preserve"> = 4 \* GB2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特殊工程的配合及同一作业面施工相互影响（人、材、机）降效的费用；</w:t>
      </w:r>
      <w:r>
        <w:rPr>
          <w:rFonts w:hint="eastAsia" w:ascii="宋体" w:hAnsi="宋体" w:cs="宋体"/>
          <w:sz w:val="24"/>
        </w:rPr>
        <w:fldChar w:fldCharType="begin"/>
      </w:r>
      <w:r>
        <w:rPr>
          <w:rFonts w:hint="eastAsia" w:ascii="宋体" w:hAnsi="宋体" w:cs="宋体"/>
          <w:sz w:val="24"/>
        </w:rPr>
        <w:instrText xml:space="preserve"> = 5 \* GB2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 xml:space="preserve">安全文明及环保施工费用; </w:t>
      </w:r>
      <w:r>
        <w:rPr>
          <w:rFonts w:hint="eastAsia" w:ascii="宋体" w:hAnsi="宋体" w:cs="宋体"/>
          <w:sz w:val="24"/>
        </w:rPr>
        <w:fldChar w:fldCharType="begin"/>
      </w:r>
      <w:r>
        <w:rPr>
          <w:rFonts w:hint="eastAsia" w:ascii="宋体" w:hAnsi="宋体" w:cs="宋体"/>
          <w:sz w:val="24"/>
        </w:rPr>
        <w:instrText xml:space="preserve"> = 6 \* GB2 </w:instrText>
      </w:r>
      <w:r>
        <w:rPr>
          <w:rFonts w:hint="eastAsia" w:ascii="宋体" w:hAnsi="宋体" w:cs="宋体"/>
          <w:sz w:val="24"/>
        </w:rPr>
        <w:fldChar w:fldCharType="separate"/>
      </w:r>
      <w:r>
        <w:rPr>
          <w:rFonts w:hint="eastAsia" w:ascii="宋体" w:hAnsi="宋体" w:cs="宋体"/>
          <w:sz w:val="24"/>
        </w:rPr>
        <w:t>⑹</w:t>
      </w:r>
      <w:r>
        <w:rPr>
          <w:rFonts w:hint="eastAsia" w:ascii="宋体" w:hAnsi="宋体" w:cs="宋体"/>
          <w:sz w:val="24"/>
        </w:rPr>
        <w:fldChar w:fldCharType="end"/>
      </w:r>
      <w:r>
        <w:rPr>
          <w:rFonts w:hint="eastAsia" w:ascii="宋体" w:hAnsi="宋体" w:cs="宋体"/>
          <w:sz w:val="24"/>
        </w:rPr>
        <w:t>自然气候、国家性重大会议影响造成停、窝工的费用；</w:t>
      </w:r>
      <w:r>
        <w:rPr>
          <w:rFonts w:hint="eastAsia" w:ascii="宋体" w:hAnsi="宋体" w:cs="宋体"/>
          <w:sz w:val="24"/>
        </w:rPr>
        <w:fldChar w:fldCharType="begin"/>
      </w:r>
      <w:r>
        <w:rPr>
          <w:rFonts w:hint="eastAsia" w:ascii="宋体" w:hAnsi="宋体" w:cs="宋体"/>
          <w:sz w:val="24"/>
        </w:rPr>
        <w:instrText xml:space="preserve"> = 7 \* GB2 </w:instrText>
      </w:r>
      <w:r>
        <w:rPr>
          <w:rFonts w:hint="eastAsia" w:ascii="宋体" w:hAnsi="宋体" w:cs="宋体"/>
          <w:sz w:val="24"/>
        </w:rPr>
        <w:fldChar w:fldCharType="separate"/>
      </w:r>
      <w:r>
        <w:rPr>
          <w:rFonts w:hint="eastAsia" w:ascii="宋体" w:hAnsi="宋体" w:cs="宋体"/>
          <w:sz w:val="24"/>
        </w:rPr>
        <w:t>⑺</w:t>
      </w:r>
      <w:r>
        <w:rPr>
          <w:rFonts w:hint="eastAsia" w:ascii="宋体" w:hAnsi="宋体" w:cs="宋体"/>
          <w:sz w:val="24"/>
        </w:rPr>
        <w:fldChar w:fldCharType="end"/>
      </w:r>
      <w:r>
        <w:rPr>
          <w:rFonts w:hint="eastAsia" w:ascii="宋体" w:hAnsi="宋体" w:cs="宋体"/>
          <w:sz w:val="24"/>
        </w:rPr>
        <w:t>专项方案、专家论证方案以及竣工资料的编制、整理、报验，专家论证由当地安监部门组织，费用由承包方支付；</w:t>
      </w:r>
      <w:r>
        <w:rPr>
          <w:rFonts w:hint="eastAsia" w:ascii="宋体" w:hAnsi="宋体" w:cs="宋体"/>
          <w:sz w:val="24"/>
        </w:rPr>
        <w:fldChar w:fldCharType="begin"/>
      </w:r>
      <w:r>
        <w:rPr>
          <w:rFonts w:hint="eastAsia" w:ascii="宋体" w:hAnsi="宋体" w:cs="宋体"/>
          <w:sz w:val="24"/>
        </w:rPr>
        <w:instrText xml:space="preserve"> = 8 \* GB2 </w:instrText>
      </w:r>
      <w:r>
        <w:rPr>
          <w:rFonts w:hint="eastAsia" w:ascii="宋体" w:hAnsi="宋体" w:cs="宋体"/>
          <w:sz w:val="24"/>
        </w:rPr>
        <w:fldChar w:fldCharType="separate"/>
      </w:r>
      <w:r>
        <w:rPr>
          <w:rFonts w:hint="eastAsia" w:ascii="宋体" w:hAnsi="宋体" w:cs="宋体"/>
          <w:sz w:val="24"/>
        </w:rPr>
        <w:t>⑻</w:t>
      </w:r>
      <w:r>
        <w:rPr>
          <w:rFonts w:hint="eastAsia" w:ascii="宋体" w:hAnsi="宋体" w:cs="宋体"/>
          <w:sz w:val="24"/>
        </w:rPr>
        <w:fldChar w:fldCharType="end"/>
      </w:r>
      <w:r>
        <w:rPr>
          <w:rFonts w:hint="eastAsia" w:ascii="宋体" w:hAnsi="宋体" w:cs="宋体"/>
          <w:sz w:val="24"/>
        </w:rPr>
        <w:t>临建内容：</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宿舍内设施、床铺搭设；</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食堂内灶台等布置搭设；</w:t>
      </w:r>
      <w:r>
        <w:rPr>
          <w:rFonts w:hint="eastAsia" w:ascii="宋体" w:hAnsi="宋体" w:cs="宋体"/>
          <w:sz w:val="24"/>
        </w:rPr>
        <w:fldChar w:fldCharType="begin"/>
      </w:r>
      <w:r>
        <w:rPr>
          <w:rFonts w:hint="eastAsia" w:ascii="宋体" w:hAnsi="宋体" w:cs="宋体"/>
          <w:sz w:val="24"/>
        </w:rPr>
        <w:instrText xml:space="preserve"> = 9 \* GB2 </w:instrText>
      </w:r>
      <w:r>
        <w:rPr>
          <w:rFonts w:hint="eastAsia" w:ascii="宋体" w:hAnsi="宋体" w:cs="宋体"/>
          <w:sz w:val="24"/>
        </w:rPr>
        <w:fldChar w:fldCharType="separate"/>
      </w:r>
      <w:r>
        <w:rPr>
          <w:rFonts w:hint="eastAsia" w:ascii="宋体" w:hAnsi="宋体" w:cs="宋体"/>
          <w:sz w:val="24"/>
        </w:rPr>
        <w:t>⑼</w:t>
      </w:r>
      <w:r>
        <w:rPr>
          <w:rFonts w:hint="eastAsia" w:ascii="宋体" w:hAnsi="宋体" w:cs="宋体"/>
          <w:sz w:val="24"/>
        </w:rPr>
        <w:fldChar w:fldCharType="end"/>
      </w:r>
      <w:r>
        <w:rPr>
          <w:rFonts w:hint="eastAsia" w:ascii="宋体" w:hAnsi="宋体" w:cs="宋体"/>
          <w:sz w:val="24"/>
        </w:rPr>
        <w:t>临电内容：</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二级以下（不含二级）配电箱、电线、电缆的敷设布置;</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 xml:space="preserve">移动照明的灯架、灯管、灯泡等材料及安装维护; </w:t>
      </w:r>
      <w:r>
        <w:rPr>
          <w:rFonts w:hint="eastAsia" w:ascii="宋体" w:hAnsi="宋体" w:cs="宋体"/>
          <w:sz w:val="24"/>
        </w:rPr>
        <w:fldChar w:fldCharType="begin"/>
      </w:r>
      <w:r>
        <w:rPr>
          <w:rFonts w:hint="eastAsia" w:ascii="宋体" w:hAnsi="宋体" w:cs="宋体"/>
          <w:sz w:val="24"/>
        </w:rPr>
        <w:instrText xml:space="preserve"> = 10 \* GB2 </w:instrText>
      </w:r>
      <w:r>
        <w:rPr>
          <w:rFonts w:hint="eastAsia" w:ascii="宋体" w:hAnsi="宋体" w:cs="宋体"/>
          <w:sz w:val="24"/>
        </w:rPr>
        <w:fldChar w:fldCharType="separate"/>
      </w:r>
      <w:r>
        <w:rPr>
          <w:rFonts w:hint="eastAsia" w:ascii="宋体" w:hAnsi="宋体" w:cs="宋体"/>
          <w:sz w:val="24"/>
        </w:rPr>
        <w:t>⑽</w:t>
      </w:r>
      <w:r>
        <w:rPr>
          <w:rFonts w:hint="eastAsia" w:ascii="宋体" w:hAnsi="宋体" w:cs="宋体"/>
          <w:sz w:val="24"/>
        </w:rPr>
        <w:fldChar w:fldCharType="end"/>
      </w:r>
      <w:r>
        <w:rPr>
          <w:rFonts w:hint="eastAsia" w:ascii="宋体" w:hAnsi="宋体" w:cs="宋体"/>
          <w:sz w:val="24"/>
        </w:rPr>
        <w:t>装卸车：负责所需的材料、周转工具的进退场、装卸车，现场内倒运、分类码放及挂牌标示；</w:t>
      </w:r>
      <w:r>
        <w:rPr>
          <w:rFonts w:hint="eastAsia" w:ascii="宋体" w:hAnsi="宋体" w:cs="宋体"/>
          <w:sz w:val="24"/>
        </w:rPr>
        <w:fldChar w:fldCharType="begin"/>
      </w:r>
      <w:r>
        <w:rPr>
          <w:rFonts w:hint="eastAsia" w:ascii="宋体" w:hAnsi="宋体" w:cs="宋体"/>
          <w:sz w:val="24"/>
        </w:rPr>
        <w:instrText xml:space="preserve"> = 11 \* GB2 </w:instrText>
      </w:r>
      <w:r>
        <w:rPr>
          <w:rFonts w:hint="eastAsia" w:ascii="宋体" w:hAnsi="宋体" w:cs="宋体"/>
          <w:sz w:val="24"/>
        </w:rPr>
        <w:fldChar w:fldCharType="separate"/>
      </w:r>
      <w:r>
        <w:rPr>
          <w:rFonts w:hint="eastAsia" w:ascii="宋体" w:hAnsi="宋体" w:cs="宋体"/>
          <w:sz w:val="24"/>
        </w:rPr>
        <w:t>⑾</w:t>
      </w:r>
      <w:r>
        <w:rPr>
          <w:rFonts w:hint="eastAsia" w:ascii="宋体" w:hAnsi="宋体" w:cs="宋体"/>
          <w:sz w:val="24"/>
        </w:rPr>
        <w:fldChar w:fldCharType="end"/>
      </w:r>
      <w:r>
        <w:rPr>
          <w:rFonts w:hint="eastAsia" w:ascii="宋体" w:hAnsi="宋体" w:cs="宋体"/>
          <w:sz w:val="24"/>
        </w:rPr>
        <w:t>承包人职工安全防护用品均自备，具体包括：安全帽(由发包人统一配备，费用由承包人负担)、安全带、绝缘手套、绝缘鞋、口罩等；⑿不可避免的工程间隙时间。</w:t>
      </w:r>
    </w:p>
    <w:p>
      <w:pPr>
        <w:pStyle w:val="13"/>
        <w:spacing w:line="420" w:lineRule="exact"/>
        <w:ind w:firstLine="480" w:firstLineChars="200"/>
        <w:jc w:val="left"/>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b/>
          <w:bCs/>
          <w:sz w:val="24"/>
        </w:rPr>
        <w:t>1.2 本次招标文件内容仅作为投标前报价依据，实际情况以议标现场实际说明为准，如相关参数要求与招标文件不一致，以议标现场说明为准</w:t>
      </w:r>
      <w:r>
        <w:rPr>
          <w:rFonts w:hint="eastAsia" w:ascii="宋体" w:hAnsi="宋体" w:cs="宋体"/>
          <w:sz w:val="24"/>
        </w:rPr>
        <w:t>。</w:t>
      </w:r>
    </w:p>
    <w:p>
      <w:pPr>
        <w:pStyle w:val="13"/>
        <w:spacing w:line="420" w:lineRule="exact"/>
        <w:ind w:firstLine="480" w:firstLineChars="200"/>
        <w:jc w:val="left"/>
        <w:rPr>
          <w:rFonts w:ascii="宋体" w:hAnsi="宋体" w:cs="宋体"/>
          <w:b/>
          <w:bCs/>
          <w:sz w:val="24"/>
        </w:rPr>
      </w:pPr>
      <w:r>
        <w:rPr>
          <w:rFonts w:hint="eastAsia" w:ascii="宋体" w:hAnsi="宋体" w:cs="宋体"/>
          <w:sz w:val="24"/>
        </w:rPr>
        <w:t>1.3</w:t>
      </w:r>
      <w:r>
        <w:rPr>
          <w:rFonts w:hint="eastAsia" w:ascii="宋体" w:hAnsi="宋体" w:cs="宋体"/>
          <w:b/>
          <w:bCs/>
          <w:sz w:val="24"/>
        </w:rPr>
        <w:t>本次招标设置投标截止时间，超过投标截止时间未查看现场或未报名不再登记参与本次投标。</w:t>
      </w:r>
    </w:p>
    <w:p>
      <w:pPr>
        <w:pStyle w:val="13"/>
        <w:spacing w:line="420" w:lineRule="exact"/>
        <w:ind w:firstLine="480" w:firstLineChars="200"/>
        <w:jc w:val="left"/>
        <w:rPr>
          <w:rFonts w:ascii="宋体" w:hAnsi="宋体" w:cs="宋体"/>
          <w:b/>
          <w:bCs/>
          <w:sz w:val="24"/>
          <w:szCs w:val="24"/>
        </w:rPr>
      </w:pPr>
      <w:r>
        <w:rPr>
          <w:rFonts w:hint="eastAsia" w:ascii="宋体" w:hAnsi="宋体" w:cs="宋体"/>
          <w:sz w:val="24"/>
        </w:rPr>
        <w:t>1.4</w:t>
      </w:r>
      <w:r>
        <w:rPr>
          <w:rFonts w:hint="eastAsia" w:ascii="宋体" w:hAnsi="宋体" w:cs="宋体"/>
          <w:b/>
          <w:bCs/>
          <w:sz w:val="24"/>
          <w:szCs w:val="24"/>
        </w:rPr>
        <w:t>无合作经历供应商确定中标前需配合公司进行相关资质能力考察，未经资质考察，器材部及项目部有权拒绝供应商投标。</w:t>
      </w:r>
    </w:p>
    <w:p>
      <w:pPr>
        <w:pStyle w:val="13"/>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1.5投标前投标人必须确认参与投标产品品牌与供应商名称，投标后不允许更换品牌及供应商名称。</w:t>
      </w:r>
    </w:p>
    <w:p>
      <w:pPr>
        <w:pStyle w:val="13"/>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1.6投标前需充分考虑实际因素，中标后不得以材料价格上涨等其他原因拒绝供货及施工，对此我方保留上诉权利。</w:t>
      </w:r>
    </w:p>
    <w:p>
      <w:pPr>
        <w:spacing w:line="500" w:lineRule="exact"/>
        <w:ind w:firstLine="480" w:firstLineChars="200"/>
        <w:rPr>
          <w:rFonts w:ascii="宋体" w:hAnsi="宋体" w:cs="宋体"/>
          <w:b/>
          <w:sz w:val="24"/>
        </w:rPr>
      </w:pPr>
      <w:r>
        <w:rPr>
          <w:rFonts w:hint="eastAsia" w:ascii="宋体" w:hAnsi="宋体" w:cs="宋体"/>
          <w:b/>
          <w:sz w:val="24"/>
        </w:rPr>
        <w:t xml:space="preserve">2.竞标规则： </w:t>
      </w:r>
    </w:p>
    <w:p>
      <w:pPr>
        <w:autoSpaceDE w:val="0"/>
        <w:spacing w:line="480" w:lineRule="exact"/>
        <w:rPr>
          <w:rFonts w:ascii="宋体" w:hAnsi="宋体" w:cs="宋体"/>
          <w:color w:val="FF0000"/>
          <w:sz w:val="24"/>
          <w:szCs w:val="24"/>
        </w:rPr>
      </w:pPr>
      <w:r>
        <w:rPr>
          <w:rFonts w:hint="eastAsia" w:ascii="宋体" w:hAnsi="宋体" w:cs="宋体"/>
          <w:sz w:val="24"/>
        </w:rPr>
        <w:t>1）</w:t>
      </w:r>
      <w:r>
        <w:rPr>
          <w:rFonts w:hint="eastAsia" w:ascii="宋体" w:hAnsi="宋体" w:cs="宋体"/>
          <w:color w:val="FF0000"/>
          <w:sz w:val="24"/>
        </w:rPr>
        <w:t>公开招标，</w:t>
      </w:r>
      <w:r>
        <w:rPr>
          <w:rFonts w:hint="eastAsia" w:ascii="宋体" w:hAnsi="宋体" w:cs="宋体"/>
          <w:color w:val="FF0000"/>
          <w:sz w:val="24"/>
          <w:szCs w:val="24"/>
        </w:rPr>
        <w:t>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autoSpaceDE w:val="0"/>
        <w:spacing w:line="480" w:lineRule="exact"/>
        <w:rPr>
          <w:rFonts w:ascii="宋体" w:hAnsi="宋体" w:cs="宋体"/>
          <w:sz w:val="24"/>
        </w:rPr>
      </w:pPr>
      <w:r>
        <w:rPr>
          <w:rFonts w:hint="eastAsia" w:ascii="宋体" w:hAnsi="宋体" w:cs="宋体"/>
          <w:sz w:val="24"/>
        </w:rPr>
        <w:t>2）报价内容：</w:t>
      </w:r>
    </w:p>
    <w:p>
      <w:pPr>
        <w:spacing w:line="500" w:lineRule="exact"/>
        <w:ind w:firstLine="480" w:firstLineChars="200"/>
        <w:rPr>
          <w:rFonts w:ascii="宋体" w:hAnsi="宋体" w:cs="宋体"/>
          <w:kern w:val="0"/>
          <w:sz w:val="24"/>
          <w:lang w:bidi="ar"/>
        </w:rPr>
      </w:pP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r>
        <w:rPr>
          <w:rFonts w:hint="eastAsia" w:ascii="宋体" w:hAnsi="宋体" w:cs="宋体"/>
          <w:sz w:val="24"/>
          <w:lang w:bidi="ar"/>
        </w:rPr>
        <w:t>日</w:t>
      </w:r>
      <w:r>
        <w:rPr>
          <w:rFonts w:ascii="宋体" w:hAnsi="宋体" w:cs="宋体"/>
          <w:sz w:val="24"/>
          <w:lang w:bidi="ar"/>
        </w:rPr>
        <w:t>9</w:t>
      </w:r>
      <w:r>
        <w:rPr>
          <w:rFonts w:hint="eastAsia" w:ascii="宋体" w:hAnsi="宋体" w:cs="宋体"/>
          <w:sz w:val="24"/>
          <w:lang w:bidi="ar"/>
        </w:rPr>
        <w:t>：00至</w:t>
      </w:r>
      <w:r>
        <w:rPr>
          <w:rFonts w:ascii="宋体" w:hAnsi="宋体" w:cs="宋体"/>
          <w:sz w:val="24"/>
          <w:lang w:bidi="ar"/>
        </w:rPr>
        <w:t>10</w:t>
      </w:r>
      <w:r>
        <w:rPr>
          <w:rFonts w:hint="eastAsia" w:ascii="宋体" w:hAnsi="宋体" w:cs="宋体"/>
          <w:sz w:val="24"/>
          <w:lang w:bidi="ar"/>
        </w:rPr>
        <w:t>：</w:t>
      </w:r>
      <w:r>
        <w:rPr>
          <w:rFonts w:ascii="宋体" w:hAnsi="宋体" w:cs="宋体"/>
          <w:sz w:val="24"/>
          <w:lang w:bidi="ar"/>
        </w:rPr>
        <w:t>0</w:t>
      </w:r>
      <w:r>
        <w:rPr>
          <w:rFonts w:hint="eastAsia" w:ascii="宋体" w:hAnsi="宋体" w:cs="宋体"/>
          <w:sz w:val="24"/>
          <w:lang w:bidi="ar"/>
        </w:rPr>
        <w:t>0为竞价时间</w:t>
      </w:r>
      <w:r>
        <w:rPr>
          <w:rFonts w:hint="eastAsia" w:ascii="宋体" w:hAnsi="宋体" w:cs="宋体"/>
          <w:kern w:val="0"/>
          <w:sz w:val="24"/>
          <w:lang w:bidi="ar"/>
        </w:rPr>
        <w:t>(逾期竞价，以竞价截止时间前最后一次报价为准)，此次竞价分为两个阶段：</w:t>
      </w:r>
    </w:p>
    <w:p>
      <w:pPr>
        <w:spacing w:line="500" w:lineRule="exact"/>
        <w:rPr>
          <w:rFonts w:ascii="宋体" w:hAnsi="宋体" w:cs="宋体"/>
          <w:kern w:val="0"/>
          <w:sz w:val="24"/>
          <w:lang w:bidi="ar"/>
        </w:rPr>
      </w:pPr>
      <w:r>
        <w:rPr>
          <w:rFonts w:hint="eastAsia" w:ascii="宋体" w:hAnsi="宋体" w:cs="宋体"/>
          <w:b/>
          <w:bCs/>
          <w:kern w:val="0"/>
          <w:sz w:val="24"/>
          <w:lang w:bidi="ar"/>
        </w:rPr>
        <w:t>第一阶段：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r>
        <w:rPr>
          <w:rFonts w:hint="eastAsia" w:ascii="宋体" w:hAnsi="宋体" w:cs="宋体"/>
          <w:sz w:val="24"/>
          <w:lang w:bidi="ar"/>
        </w:rPr>
        <w:t xml:space="preserve">日 </w:t>
      </w:r>
      <w:r>
        <w:rPr>
          <w:rFonts w:ascii="宋体" w:hAnsi="宋体" w:cs="宋体"/>
          <w:sz w:val="24"/>
          <w:lang w:bidi="ar"/>
        </w:rPr>
        <w:t>9</w:t>
      </w:r>
      <w:r>
        <w:rPr>
          <w:rFonts w:hint="eastAsia" w:ascii="宋体" w:hAnsi="宋体" w:cs="宋体"/>
          <w:sz w:val="24"/>
          <w:lang w:bidi="ar"/>
        </w:rPr>
        <w:t>：00至</w:t>
      </w:r>
      <w:r>
        <w:rPr>
          <w:rFonts w:ascii="宋体" w:hAnsi="宋体" w:cs="宋体"/>
          <w:sz w:val="24"/>
          <w:lang w:bidi="ar"/>
        </w:rPr>
        <w:t>9</w:t>
      </w:r>
      <w:r>
        <w:rPr>
          <w:rFonts w:hint="eastAsia" w:ascii="宋体" w:hAnsi="宋体" w:cs="宋体"/>
          <w:sz w:val="24"/>
          <w:lang w:bidi="ar"/>
        </w:rPr>
        <w:t>：30</w:t>
      </w:r>
      <w:r>
        <w:rPr>
          <w:rFonts w:hint="eastAsia" w:ascii="宋体" w:hAnsi="宋体" w:cs="宋体"/>
          <w:kern w:val="0"/>
          <w:sz w:val="24"/>
          <w:lang w:bidi="ar"/>
        </w:rPr>
        <w:t>（第一阶段截止，根据价格高低排名，平台自动按照70%*报价家数（小数向上取整）进入到第二阶段）；</w:t>
      </w:r>
    </w:p>
    <w:p>
      <w:pPr>
        <w:spacing w:line="500" w:lineRule="exact"/>
        <w:rPr>
          <w:rFonts w:ascii="宋体" w:hAnsi="宋体" w:cs="宋体"/>
          <w:kern w:val="0"/>
          <w:sz w:val="24"/>
        </w:rPr>
      </w:pPr>
      <w:r>
        <w:rPr>
          <w:rFonts w:hint="eastAsia" w:ascii="宋体" w:hAnsi="宋体" w:cs="宋体"/>
          <w:b/>
          <w:bCs/>
          <w:kern w:val="0"/>
          <w:sz w:val="24"/>
          <w:lang w:bidi="ar"/>
        </w:rPr>
        <w:t>第二阶段：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3</w:t>
      </w:r>
      <w:r>
        <w:rPr>
          <w:rFonts w:hint="eastAsia" w:ascii="宋体" w:hAnsi="宋体" w:cs="宋体"/>
          <w:sz w:val="24"/>
          <w:lang w:bidi="ar"/>
        </w:rPr>
        <w:t>月</w:t>
      </w:r>
      <w:r>
        <w:rPr>
          <w:rFonts w:ascii="宋体" w:hAnsi="宋体" w:cs="宋体"/>
          <w:sz w:val="24"/>
          <w:lang w:bidi="ar"/>
        </w:rPr>
        <w:t>2</w:t>
      </w:r>
      <w:r>
        <w:rPr>
          <w:rFonts w:hint="eastAsia" w:ascii="宋体" w:hAnsi="宋体" w:cs="宋体"/>
          <w:sz w:val="24"/>
          <w:lang w:val="en-US" w:eastAsia="zh-CN" w:bidi="ar"/>
        </w:rPr>
        <w:t>9</w:t>
      </w:r>
      <w:r>
        <w:rPr>
          <w:rFonts w:hint="eastAsia" w:ascii="宋体" w:hAnsi="宋体" w:cs="宋体"/>
          <w:sz w:val="24"/>
          <w:lang w:bidi="ar"/>
        </w:rPr>
        <w:t xml:space="preserve">日 </w:t>
      </w:r>
      <w:r>
        <w:rPr>
          <w:rFonts w:ascii="宋体" w:hAnsi="宋体" w:cs="宋体"/>
          <w:sz w:val="24"/>
          <w:lang w:bidi="ar"/>
        </w:rPr>
        <w:t>9</w:t>
      </w:r>
      <w:r>
        <w:rPr>
          <w:rFonts w:hint="eastAsia" w:ascii="宋体" w:hAnsi="宋体" w:cs="宋体"/>
          <w:sz w:val="24"/>
          <w:lang w:bidi="ar"/>
        </w:rPr>
        <w:t xml:space="preserve">：30至 </w:t>
      </w:r>
      <w:r>
        <w:rPr>
          <w:rFonts w:ascii="宋体" w:hAnsi="宋体" w:cs="宋体"/>
          <w:sz w:val="24"/>
          <w:lang w:bidi="ar"/>
        </w:rPr>
        <w:t>10</w:t>
      </w:r>
      <w:r>
        <w:rPr>
          <w:rFonts w:hint="eastAsia" w:ascii="宋体" w:hAnsi="宋体" w:cs="宋体"/>
          <w:sz w:val="24"/>
          <w:lang w:bidi="ar"/>
        </w:rPr>
        <w:t>：00</w:t>
      </w:r>
      <w:r>
        <w:rPr>
          <w:rFonts w:hint="eastAsia" w:ascii="宋体" w:hAnsi="宋体" w:cs="宋体"/>
          <w:b/>
          <w:bCs/>
          <w:kern w:val="0"/>
          <w:sz w:val="24"/>
          <w:lang w:bidi="ar"/>
        </w:rPr>
        <w:t xml:space="preserve"> </w:t>
      </w:r>
      <w:r>
        <w:rPr>
          <w:rFonts w:hint="eastAsia" w:ascii="宋体" w:hAnsi="宋体" w:cs="宋体"/>
          <w:kern w:val="0"/>
          <w:sz w:val="24"/>
          <w:lang w:bidi="ar"/>
        </w:rPr>
        <w:t>（第二阶段截止，平台默认为3家，合理低价中标）；</w:t>
      </w:r>
    </w:p>
    <w:p>
      <w:pPr>
        <w:spacing w:line="500" w:lineRule="exact"/>
        <w:ind w:firstLine="471" w:firstLineChars="196"/>
        <w:rPr>
          <w:rFonts w:ascii="宋体" w:hAnsi="宋体" w:cs="宋体"/>
          <w:b/>
          <w:kern w:val="0"/>
          <w:sz w:val="24"/>
          <w:lang w:bidi="ar"/>
        </w:rPr>
      </w:pPr>
      <w:r>
        <w:rPr>
          <w:rFonts w:hint="eastAsia" w:ascii="宋体" w:hAnsi="宋体" w:cs="宋体"/>
          <w:b/>
          <w:kern w:val="0"/>
          <w:sz w:val="24"/>
          <w:lang w:bidi="ar"/>
        </w:rPr>
        <w:t>善意提醒，不要等到时间节点的最后一分钟提交报价，由于网络问题或其它问题可能出现报价不能及时提交，耽误报价。如果操作不熟悉，可到公司进行培训。</w:t>
      </w:r>
    </w:p>
    <w:p>
      <w:pPr>
        <w:spacing w:line="500" w:lineRule="exact"/>
        <w:rPr>
          <w:rFonts w:ascii="宋体" w:hAnsi="宋体" w:cs="宋体"/>
          <w:color w:val="FF0000"/>
          <w:kern w:val="0"/>
          <w:sz w:val="28"/>
          <w:szCs w:val="28"/>
          <w:lang w:bidi="ar"/>
        </w:rPr>
      </w:pPr>
      <w:r>
        <w:rPr>
          <w:rFonts w:hint="eastAsia" w:ascii="宋体" w:hAnsi="宋体" w:cs="宋体"/>
          <w:color w:val="FF0000"/>
          <w:kern w:val="0"/>
          <w:sz w:val="28"/>
          <w:szCs w:val="28"/>
          <w:lang w:bidi="ar"/>
        </w:rPr>
        <w:t>每阶段结束之后</w:t>
      </w:r>
    </w:p>
    <w:p>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tbl>
      <w:tblPr>
        <w:tblStyle w:val="7"/>
        <w:tblW w:w="9600" w:type="dxa"/>
        <w:tblInd w:w="0" w:type="dxa"/>
        <w:tblLayout w:type="autofit"/>
        <w:tblCellMar>
          <w:top w:w="0" w:type="dxa"/>
          <w:left w:w="108" w:type="dxa"/>
          <w:bottom w:w="0" w:type="dxa"/>
          <w:right w:w="108" w:type="dxa"/>
        </w:tblCellMar>
      </w:tblPr>
      <w:tblGrid>
        <w:gridCol w:w="580"/>
        <w:gridCol w:w="1740"/>
        <w:gridCol w:w="3000"/>
        <w:gridCol w:w="980"/>
        <w:gridCol w:w="840"/>
        <w:gridCol w:w="960"/>
        <w:gridCol w:w="1500"/>
      </w:tblGrid>
      <w:tr>
        <w:tblPrEx>
          <w:tblCellMar>
            <w:top w:w="0" w:type="dxa"/>
            <w:left w:w="108" w:type="dxa"/>
            <w:bottom w:w="0" w:type="dxa"/>
            <w:right w:w="108" w:type="dxa"/>
          </w:tblCellMar>
        </w:tblPrEx>
        <w:trPr>
          <w:trHeight w:val="310" w:hRule="atLeast"/>
        </w:trPr>
        <w:tc>
          <w:tcPr>
            <w:tcW w:w="9600" w:type="dxa"/>
            <w:gridSpan w:val="7"/>
            <w:tcBorders>
              <w:top w:val="nil"/>
              <w:left w:val="nil"/>
              <w:bottom w:val="single" w:color="000000" w:sz="8" w:space="0"/>
              <w:right w:val="nil"/>
            </w:tcBorders>
            <w:shd w:val="clear" w:color="auto" w:fill="auto"/>
            <w:noWrap/>
            <w:vAlign w:val="center"/>
          </w:tcPr>
          <w:p>
            <w:pPr>
              <w:widowControl/>
              <w:jc w:val="center"/>
              <w:rPr>
                <w:rFonts w:ascii="Microsoft YaHei UI" w:hAnsi="Microsoft YaHei UI" w:eastAsia="Microsoft YaHei UI" w:cs="宋体"/>
                <w:color w:val="000000"/>
                <w:kern w:val="0"/>
                <w:szCs w:val="21"/>
              </w:rPr>
            </w:pPr>
            <w:r>
              <w:rPr>
                <w:rFonts w:hint="eastAsia" w:ascii="Microsoft YaHei UI" w:hAnsi="Microsoft YaHei UI" w:eastAsia="Microsoft YaHei UI" w:cs="宋体"/>
                <w:color w:val="000000"/>
                <w:kern w:val="0"/>
                <w:szCs w:val="21"/>
              </w:rPr>
              <w:t>观摩厅音视频</w:t>
            </w:r>
          </w:p>
        </w:tc>
      </w:tr>
      <w:tr>
        <w:tblPrEx>
          <w:tblCellMar>
            <w:top w:w="0" w:type="dxa"/>
            <w:left w:w="108" w:type="dxa"/>
            <w:bottom w:w="0" w:type="dxa"/>
            <w:right w:w="108" w:type="dxa"/>
          </w:tblCellMar>
        </w:tblPrEx>
        <w:trPr>
          <w:trHeight w:val="31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序号</w:t>
            </w:r>
          </w:p>
        </w:tc>
        <w:tc>
          <w:tcPr>
            <w:tcW w:w="17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设备名称</w:t>
            </w:r>
          </w:p>
        </w:tc>
        <w:tc>
          <w:tcPr>
            <w:tcW w:w="30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技术参数</w:t>
            </w:r>
          </w:p>
        </w:tc>
        <w:tc>
          <w:tcPr>
            <w:tcW w:w="980" w:type="dxa"/>
            <w:tcBorders>
              <w:top w:val="nil"/>
              <w:left w:val="nil"/>
              <w:bottom w:val="single" w:color="000000" w:sz="8" w:space="0"/>
              <w:right w:val="single" w:color="000000" w:sz="8" w:space="0"/>
            </w:tcBorders>
            <w:shd w:val="clear" w:color="auto" w:fill="auto"/>
            <w:vAlign w:val="center"/>
          </w:tcPr>
          <w:p>
            <w:pPr>
              <w:widowControl/>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单位</w:t>
            </w:r>
          </w:p>
        </w:tc>
        <w:tc>
          <w:tcPr>
            <w:tcW w:w="840" w:type="dxa"/>
            <w:tcBorders>
              <w:top w:val="nil"/>
              <w:left w:val="nil"/>
              <w:bottom w:val="single" w:color="000000" w:sz="8" w:space="0"/>
              <w:right w:val="single" w:color="000000" w:sz="8" w:space="0"/>
            </w:tcBorders>
            <w:shd w:val="clear" w:color="auto" w:fill="auto"/>
            <w:vAlign w:val="center"/>
          </w:tcPr>
          <w:p>
            <w:pPr>
              <w:widowControl/>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数量</w:t>
            </w:r>
          </w:p>
        </w:tc>
        <w:tc>
          <w:tcPr>
            <w:tcW w:w="960" w:type="dxa"/>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单价</w:t>
            </w:r>
          </w:p>
        </w:tc>
        <w:tc>
          <w:tcPr>
            <w:tcW w:w="150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总价</w:t>
            </w:r>
          </w:p>
        </w:tc>
      </w:tr>
      <w:tr>
        <w:tblPrEx>
          <w:tblCellMar>
            <w:top w:w="0" w:type="dxa"/>
            <w:left w:w="108" w:type="dxa"/>
            <w:bottom w:w="0" w:type="dxa"/>
            <w:right w:w="108" w:type="dxa"/>
          </w:tblCellMar>
        </w:tblPrEx>
        <w:trPr>
          <w:trHeight w:val="290" w:hRule="atLeast"/>
        </w:trPr>
        <w:tc>
          <w:tcPr>
            <w:tcW w:w="53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放映系统</w:t>
            </w:r>
          </w:p>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4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29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1740" w:type="dxa"/>
            <w:vMerge w:val="restart"/>
            <w:tcBorders>
              <w:top w:val="nil"/>
              <w:left w:val="single" w:color="000000" w:sz="8" w:space="0"/>
              <w:bottom w:val="single" w:color="000000" w:sz="8" w:space="0"/>
              <w:right w:val="single" w:color="000000" w:sz="12"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数字放映机（2K）</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3片DLP投影机</w:t>
            </w:r>
          </w:p>
        </w:tc>
        <w:tc>
          <w:tcPr>
            <w:tcW w:w="980" w:type="dxa"/>
            <w:vMerge w:val="restart"/>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亮度：不低于15000流明</w:t>
            </w:r>
          </w:p>
        </w:tc>
        <w:tc>
          <w:tcPr>
            <w:tcW w:w="980" w:type="dxa"/>
            <w:vMerge w:val="continue"/>
            <w:tcBorders>
              <w:top w:val="nil"/>
              <w:left w:val="nil"/>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分辨率：2048 x 1080 2K</w:t>
            </w:r>
          </w:p>
        </w:tc>
        <w:tc>
          <w:tcPr>
            <w:tcW w:w="980" w:type="dxa"/>
            <w:vMerge w:val="continue"/>
            <w:tcBorders>
              <w:top w:val="nil"/>
              <w:left w:val="nil"/>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对比度：2000：1</w:t>
            </w:r>
          </w:p>
        </w:tc>
        <w:tc>
          <w:tcPr>
            <w:tcW w:w="980" w:type="dxa"/>
            <w:vMerge w:val="continue"/>
            <w:tcBorders>
              <w:top w:val="nil"/>
              <w:left w:val="nil"/>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12"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12"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不需专用抽风设备</w:t>
            </w:r>
          </w:p>
        </w:tc>
        <w:tc>
          <w:tcPr>
            <w:tcW w:w="980" w:type="dxa"/>
            <w:vMerge w:val="continue"/>
            <w:tcBorders>
              <w:top w:val="nil"/>
              <w:left w:val="nil"/>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2</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放映机镜头</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满足投距及幕布尺寸需求</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3</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电影银幕及目架</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8.2m x 4.5m，固定安装，含银幕安装支架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幅</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4</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数字媒体服务器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满足正版电影视频片源的播放；</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需外接电脑使用；</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可外接2台及以上电脑控制播放；</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可通过软件访问；</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需与全景声还音解码器同一品牌；</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5</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数字机柜</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28U标准机柜及安装附件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3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还音系统</w:t>
            </w:r>
          </w:p>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4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55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杜比还音解码器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专业级杜比7.1电影解码器，Dolby认证</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不低于4个AES输入，12路模拟输出</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不低于2路HDMI输入，1路HDMI输出</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可编辑通道设置可确保正确回放各类源素材</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允许远程监控杜比影院音频处理器</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2</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DVD播放器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高清蓝光DVD播放器</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109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3</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主扬声器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专业电影3分频扬声器，可三路分频或两路分频放大，THX认证，SSC银幕扩展补偿技术，</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组</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3</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低音单元：不小于2x15"</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频率响应(±3 dB)：优于42 Hz - 18 kHz</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最大声压级：&gt;131(峰值）</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覆盖角度：水平90°（±5）；垂直40°（±10）</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restart"/>
            <w:tcBorders>
              <w:top w:val="nil"/>
              <w:left w:val="single" w:color="000000" w:sz="8" w:space="0"/>
              <w:bottom w:val="nil"/>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4</w:t>
            </w:r>
          </w:p>
        </w:tc>
        <w:tc>
          <w:tcPr>
            <w:tcW w:w="1740" w:type="dxa"/>
            <w:vMerge w:val="restart"/>
            <w:tcBorders>
              <w:top w:val="nil"/>
              <w:left w:val="single" w:color="000000" w:sz="8" w:space="0"/>
              <w:bottom w:val="nil"/>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低频扬声器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专业电影超低扬声器</w:t>
            </w:r>
          </w:p>
        </w:tc>
        <w:tc>
          <w:tcPr>
            <w:tcW w:w="980" w:type="dxa"/>
            <w:vMerge w:val="restart"/>
            <w:tcBorders>
              <w:top w:val="nil"/>
              <w:left w:val="single" w:color="000000" w:sz="8" w:space="0"/>
              <w:bottom w:val="nil"/>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只</w:t>
            </w:r>
          </w:p>
        </w:tc>
        <w:tc>
          <w:tcPr>
            <w:tcW w:w="840" w:type="dxa"/>
            <w:vMerge w:val="restart"/>
            <w:tcBorders>
              <w:top w:val="nil"/>
              <w:left w:val="single" w:color="000000" w:sz="8" w:space="0"/>
              <w:bottom w:val="nil"/>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vMerge w:val="restart"/>
            <w:tcBorders>
              <w:top w:val="nil"/>
              <w:left w:val="single" w:color="000000" w:sz="8" w:space="0"/>
              <w:bottom w:val="nil"/>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nil"/>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低音单元：不小于2x18"</w:t>
            </w:r>
          </w:p>
        </w:tc>
        <w:tc>
          <w:tcPr>
            <w:tcW w:w="98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低频下限：22Hz</w:t>
            </w:r>
          </w:p>
        </w:tc>
        <w:tc>
          <w:tcPr>
            <w:tcW w:w="98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nil"/>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最大声压级：&gt;137(峰值）</w:t>
            </w:r>
          </w:p>
        </w:tc>
        <w:tc>
          <w:tcPr>
            <w:tcW w:w="98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4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29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5</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环绕扬声器</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专业电影环绕扬声器</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只</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8</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低音单元：不小于1x10"</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频率响应(±3 dB)：优于50Hz – 20kHz (2π)</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最大声压级：&gt;125dB (峰值）</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覆盖角度：水平100°（±10）；垂直50°（±10）</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2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6</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环绕吊架</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环绕扬声器配套壁装支架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8</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7</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主扬声器安装支架</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满足投影幕后的主扬声器安装</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3</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8</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功放</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6</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109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功率放大器的标称输出功率（RMS）大于对应的音箱标称功率（RMS）1.3-2倍</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满足扬声器的功率和声压的需求</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82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根据扬声器系统和环绕声音频通道数量接口进行配置</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82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频率响应(at 1W, 20Hz - 20kHz into 4Ω)：+0/-1dB</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7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总谐波失真（THD）:不低于0.5%</w:t>
            </w:r>
          </w:p>
        </w:tc>
        <w:tc>
          <w:tcPr>
            <w:tcW w:w="98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84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c>
          <w:tcPr>
            <w:tcW w:w="1500" w:type="dxa"/>
            <w:vMerge w:val="continue"/>
            <w:tcBorders>
              <w:top w:val="nil"/>
              <w:left w:val="single" w:color="000000" w:sz="8" w:space="0"/>
              <w:bottom w:val="single" w:color="000000" w:sz="8" w:space="0"/>
              <w:right w:val="single" w:color="000000" w:sz="8" w:space="0"/>
            </w:tcBorders>
            <w:vAlign w:val="center"/>
          </w:tcPr>
          <w:p>
            <w:pPr>
              <w:widowControl/>
              <w:jc w:val="left"/>
              <w:rPr>
                <w:rFonts w:ascii="Microsoft YaHei UI" w:hAnsi="Microsoft YaHei UI" w:eastAsia="Microsoft YaHei UI" w:cs="宋体"/>
                <w:color w:val="000000"/>
                <w:kern w:val="0"/>
                <w:sz w:val="19"/>
                <w:szCs w:val="19"/>
              </w:rPr>
            </w:pP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9</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时序电源</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满足系统时序电源的电源控制需求</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2</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29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10</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机柜</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28U标准机柜及安装附件</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个</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11</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系统集成材料</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55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12</w:t>
            </w:r>
          </w:p>
        </w:tc>
        <w:tc>
          <w:tcPr>
            <w:tcW w:w="174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系统安装、调试费</w:t>
            </w:r>
          </w:p>
        </w:tc>
        <w:tc>
          <w:tcPr>
            <w:tcW w:w="3000" w:type="dxa"/>
            <w:tcBorders>
              <w:top w:val="nil"/>
              <w:left w:val="nil"/>
              <w:bottom w:val="single" w:color="000000" w:sz="8" w:space="0"/>
              <w:right w:val="single" w:color="000000"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980" w:type="dxa"/>
            <w:tcBorders>
              <w:top w:val="nil"/>
              <w:left w:val="nil"/>
              <w:bottom w:val="single" w:color="000000" w:sz="8" w:space="0"/>
              <w:right w:val="single" w:color="000000" w:sz="8" w:space="0"/>
            </w:tcBorders>
            <w:shd w:val="clear" w:color="auto" w:fill="auto"/>
            <w:vAlign w:val="center"/>
          </w:tcPr>
          <w:p>
            <w:pPr>
              <w:widowControl/>
              <w:ind w:firstLine="190" w:firstLineChars="100"/>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套</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1</w:t>
            </w:r>
          </w:p>
        </w:tc>
        <w:tc>
          <w:tcPr>
            <w:tcW w:w="96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color w:val="000000"/>
                <w:kern w:val="0"/>
                <w:sz w:val="19"/>
                <w:szCs w:val="19"/>
              </w:rPr>
            </w:pPr>
            <w:r>
              <w:rPr>
                <w:rFonts w:hint="eastAsia" w:ascii="Microsoft YaHei UI" w:hAnsi="Microsoft YaHei UI" w:eastAsia="Microsoft YaHei UI" w:cs="宋体"/>
                <w:color w:val="000000"/>
                <w:kern w:val="0"/>
                <w:sz w:val="19"/>
                <w:szCs w:val="19"/>
              </w:rPr>
              <w:t>　</w:t>
            </w:r>
          </w:p>
        </w:tc>
      </w:tr>
      <w:tr>
        <w:tblPrEx>
          <w:tblCellMar>
            <w:top w:w="0" w:type="dxa"/>
            <w:left w:w="108" w:type="dxa"/>
            <w:bottom w:w="0" w:type="dxa"/>
            <w:right w:w="108" w:type="dxa"/>
          </w:tblCellMar>
        </w:tblPrEx>
        <w:trPr>
          <w:trHeight w:val="310" w:hRule="atLeast"/>
        </w:trPr>
        <w:tc>
          <w:tcPr>
            <w:tcW w:w="810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合计</w:t>
            </w:r>
          </w:p>
        </w:tc>
        <w:tc>
          <w:tcPr>
            <w:tcW w:w="1500" w:type="dxa"/>
            <w:tcBorders>
              <w:top w:val="nil"/>
              <w:left w:val="nil"/>
              <w:bottom w:val="single" w:color="000000" w:sz="8" w:space="0"/>
              <w:right w:val="single" w:color="000000" w:sz="8" w:space="0"/>
            </w:tcBorders>
            <w:shd w:val="clear" w:color="auto" w:fill="auto"/>
            <w:vAlign w:val="center"/>
          </w:tcPr>
          <w:p>
            <w:pPr>
              <w:widowControl/>
              <w:jc w:val="left"/>
              <w:rPr>
                <w:rFonts w:ascii="Microsoft YaHei UI" w:hAnsi="Microsoft YaHei UI" w:eastAsia="Microsoft YaHei UI" w:cs="宋体"/>
                <w:b/>
                <w:bCs/>
                <w:color w:val="000000"/>
                <w:kern w:val="0"/>
                <w:szCs w:val="21"/>
              </w:rPr>
            </w:pPr>
            <w:r>
              <w:rPr>
                <w:rFonts w:hint="eastAsia" w:ascii="Microsoft YaHei UI" w:hAnsi="Microsoft YaHei UI" w:eastAsia="Microsoft YaHei UI" w:cs="宋体"/>
                <w:b/>
                <w:bCs/>
                <w:color w:val="000000"/>
                <w:kern w:val="0"/>
                <w:szCs w:val="21"/>
              </w:rPr>
              <w:t>　</w:t>
            </w:r>
          </w:p>
        </w:tc>
      </w:tr>
    </w:tbl>
    <w:p>
      <w:pPr>
        <w:jc w:val="left"/>
        <w:rPr>
          <w:rFonts w:ascii="宋体" w:hAnsi="宋体"/>
          <w:b/>
          <w:bCs/>
          <w:spacing w:val="8"/>
          <w:sz w:val="24"/>
        </w:rPr>
      </w:pPr>
    </w:p>
    <w:p>
      <w:pPr>
        <w:numPr>
          <w:ilvl w:val="0"/>
          <w:numId w:val="7"/>
        </w:numPr>
        <w:jc w:val="left"/>
        <w:rPr>
          <w:rFonts w:ascii="宋体" w:hAnsi="宋体"/>
          <w:b/>
          <w:bCs/>
          <w:spacing w:val="8"/>
          <w:sz w:val="24"/>
        </w:rPr>
      </w:pPr>
      <w:r>
        <w:rPr>
          <w:rFonts w:hint="eastAsia" w:ascii="宋体" w:hAnsi="宋体"/>
          <w:b/>
          <w:bCs/>
          <w:spacing w:val="8"/>
          <w:sz w:val="24"/>
        </w:rPr>
        <w:t>投标人报价时，报价包括但不限于材料费、人工费、措施费、管理费、1</w:t>
      </w:r>
      <w:r>
        <w:rPr>
          <w:rFonts w:ascii="宋体" w:hAnsi="宋体"/>
          <w:b/>
          <w:bCs/>
          <w:spacing w:val="8"/>
          <w:sz w:val="24"/>
        </w:rPr>
        <w:t>3%</w:t>
      </w:r>
      <w:r>
        <w:rPr>
          <w:rFonts w:hint="eastAsia" w:ascii="宋体" w:hAnsi="宋体"/>
          <w:b/>
          <w:bCs/>
          <w:spacing w:val="8"/>
          <w:sz w:val="24"/>
        </w:rPr>
        <w:t>增值税专用发票等内容。</w:t>
      </w:r>
    </w:p>
    <w:p>
      <w:pPr>
        <w:pStyle w:val="2"/>
        <w:numPr>
          <w:ilvl w:val="0"/>
          <w:numId w:val="7"/>
        </w:numPr>
        <w:ind w:firstLine="0" w:firstLineChars="0"/>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品牌要求：</w:t>
      </w:r>
    </w:p>
    <w:p>
      <w:pPr>
        <w:pStyle w:val="2"/>
        <w:ind w:left="512" w:firstLine="0" w:firstLineChars="0"/>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观摩厅放映还音系统</w:t>
      </w:r>
    </w:p>
    <w:p>
      <w:pPr>
        <w:pStyle w:val="2"/>
        <w:ind w:left="512" w:firstLine="0" w:firstLineChars="0"/>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数字放映机：选用</w:t>
      </w:r>
      <w:r>
        <w:rPr>
          <w:rFonts w:ascii="宋体" w:hAnsi="宋体" w:eastAsiaTheme="minorEastAsia" w:cstheme="minorBidi"/>
          <w:b/>
          <w:bCs/>
          <w:spacing w:val="8"/>
          <w:sz w:val="24"/>
          <w:szCs w:val="22"/>
        </w:rPr>
        <w:t>Barco、NEC、Christie等同档次品牌设备。</w:t>
      </w:r>
    </w:p>
    <w:p>
      <w:pPr>
        <w:pStyle w:val="2"/>
        <w:ind w:left="512" w:firstLine="0" w:firstLineChars="0"/>
        <w:rPr>
          <w:rFonts w:ascii="宋体" w:hAnsi="宋体" w:eastAsiaTheme="minorEastAsia" w:cstheme="minorBidi"/>
          <w:b/>
          <w:bCs/>
          <w:spacing w:val="8"/>
          <w:sz w:val="24"/>
          <w:szCs w:val="22"/>
        </w:rPr>
      </w:pPr>
      <w:r>
        <w:rPr>
          <w:rFonts w:hint="eastAsia" w:ascii="宋体" w:hAnsi="宋体" w:eastAsiaTheme="minorEastAsia" w:cstheme="minorBidi"/>
          <w:b/>
          <w:bCs/>
          <w:spacing w:val="8"/>
          <w:sz w:val="24"/>
          <w:szCs w:val="22"/>
        </w:rPr>
        <w:t>扬声器功放：选用</w:t>
      </w:r>
      <w:r>
        <w:rPr>
          <w:rFonts w:ascii="宋体" w:hAnsi="宋体" w:eastAsiaTheme="minorEastAsia" w:cstheme="minorBidi"/>
          <w:b/>
          <w:bCs/>
          <w:spacing w:val="8"/>
          <w:sz w:val="24"/>
          <w:szCs w:val="22"/>
        </w:rPr>
        <w:t>QSC、JBL、Qfactor等同档次品牌设备。</w:t>
      </w:r>
    </w:p>
    <w:p>
      <w:pPr>
        <w:pStyle w:val="14"/>
        <w:spacing w:line="360" w:lineRule="auto"/>
        <w:rPr>
          <w:rFonts w:hint="default" w:ascii="宋体" w:hAnsi="宋体" w:eastAsiaTheme="minorEastAsia" w:cstheme="minorBidi"/>
          <w:b/>
          <w:bCs/>
          <w:spacing w:val="8"/>
          <w:sz w:val="24"/>
          <w:szCs w:val="22"/>
        </w:rPr>
      </w:pPr>
      <w:r>
        <w:rPr>
          <w:rFonts w:ascii="宋体" w:hAnsi="宋体"/>
          <w:sz w:val="24"/>
          <w:szCs w:val="24"/>
        </w:rPr>
        <w:t>投标人自行踏勘，但必须踏勘现场，否则不得参与投标</w:t>
      </w:r>
    </w:p>
    <w:p>
      <w:pPr>
        <w:spacing w:line="500" w:lineRule="exact"/>
        <w:rPr>
          <w:rFonts w:ascii="宋体" w:hAnsi="宋体" w:cs="宋体"/>
          <w:color w:val="FF0000"/>
          <w:kern w:val="0"/>
          <w:sz w:val="28"/>
          <w:szCs w:val="28"/>
          <w:lang w:bidi="ar"/>
        </w:rPr>
      </w:pPr>
      <w:r>
        <w:rPr>
          <w:rFonts w:ascii="宋体" w:hAnsi="宋体"/>
          <w:b/>
          <w:bCs/>
          <w:spacing w:val="8"/>
          <w:sz w:val="24"/>
        </w:rPr>
        <w:br w:type="page"/>
      </w:r>
    </w:p>
    <w:p>
      <w:pPr>
        <w:widowControl/>
        <w:jc w:val="left"/>
        <w:rPr>
          <w:rFonts w:ascii="宋体" w:hAnsi="宋体"/>
          <w:b/>
          <w:bCs/>
          <w:spacing w:val="8"/>
          <w:sz w:val="24"/>
        </w:rPr>
      </w:pPr>
    </w:p>
    <w:p>
      <w:pPr>
        <w:spacing w:line="500" w:lineRule="exact"/>
        <w:rPr>
          <w:rFonts w:ascii="宋体" w:hAnsi="宋体" w:cs="宋体"/>
          <w:color w:val="FF0000"/>
          <w:kern w:val="0"/>
          <w:sz w:val="28"/>
          <w:szCs w:val="28"/>
          <w:lang w:bidi="ar"/>
        </w:rPr>
      </w:pPr>
    </w:p>
    <w:p>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p>
      <w:pPr>
        <w:spacing w:line="500" w:lineRule="exact"/>
        <w:rPr>
          <w:rFonts w:ascii="宋体" w:hAnsi="宋体" w:cs="宋体"/>
          <w:color w:val="FF0000"/>
          <w:kern w:val="0"/>
          <w:sz w:val="28"/>
          <w:szCs w:val="28"/>
          <w:lang w:bidi="ar"/>
        </w:rPr>
      </w:pPr>
      <w:r>
        <w:rPr>
          <w:rFonts w:hint="eastAsia" w:ascii="宋体" w:hAnsi="宋体" w:cs="宋体"/>
          <w:color w:val="FF0000"/>
          <w:kern w:val="0"/>
          <w:sz w:val="28"/>
          <w:szCs w:val="28"/>
          <w:lang w:bidi="ar"/>
        </w:rPr>
        <w:t>可以查看各家总价，每段结束之前不能查看。</w:t>
      </w:r>
    </w:p>
    <w:p>
      <w:pPr>
        <w:widowControl/>
        <w:jc w:val="left"/>
        <w:sectPr>
          <w:pgSz w:w="11906" w:h="16838"/>
          <w:pgMar w:top="1440" w:right="1800" w:bottom="1440" w:left="1800" w:header="851" w:footer="992" w:gutter="0"/>
          <w:cols w:space="425" w:num="1"/>
          <w:docGrid w:type="lines" w:linePitch="312" w:charSpace="0"/>
        </w:sectPr>
      </w:pPr>
    </w:p>
    <w:tbl>
      <w:tblPr>
        <w:tblStyle w:val="7"/>
        <w:tblpPr w:leftFromText="180" w:rightFromText="180" w:horzAnchor="margin" w:tblpY="-1798"/>
        <w:tblW w:w="14879" w:type="dxa"/>
        <w:tblInd w:w="0" w:type="dxa"/>
        <w:tblLayout w:type="autofit"/>
        <w:tblCellMar>
          <w:top w:w="0" w:type="dxa"/>
          <w:left w:w="108" w:type="dxa"/>
          <w:bottom w:w="0" w:type="dxa"/>
          <w:right w:w="108" w:type="dxa"/>
        </w:tblCellMar>
      </w:tblPr>
      <w:tblGrid>
        <w:gridCol w:w="14879"/>
      </w:tblGrid>
      <w:tr>
        <w:tblPrEx>
          <w:tblCellMar>
            <w:top w:w="0" w:type="dxa"/>
            <w:left w:w="108" w:type="dxa"/>
            <w:bottom w:w="0" w:type="dxa"/>
            <w:right w:w="108" w:type="dxa"/>
          </w:tblCellMar>
        </w:tblPrEx>
        <w:trPr>
          <w:trHeight w:val="365" w:hRule="atLeast"/>
        </w:trPr>
        <w:tc>
          <w:tcPr>
            <w:tcW w:w="1487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Times New Roman"/>
                <w:kern w:val="0"/>
                <w:szCs w:val="21"/>
              </w:rPr>
            </w:pPr>
          </w:p>
        </w:tc>
      </w:tr>
    </w:tbl>
    <w:p>
      <w:pPr>
        <w:widowControl/>
        <w:jc w:val="left"/>
        <w:rPr>
          <w:rFonts w:ascii="宋体" w:hAnsi="宋体"/>
          <w:b/>
          <w:bCs/>
          <w:spacing w:val="8"/>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73A79"/>
    <w:multiLevelType w:val="singleLevel"/>
    <w:tmpl w:val="F4173A79"/>
    <w:lvl w:ilvl="0" w:tentative="0">
      <w:start w:val="2"/>
      <w:numFmt w:val="chineseCounting"/>
      <w:suff w:val="nothing"/>
      <w:lvlText w:val="%1、"/>
      <w:lvlJc w:val="left"/>
      <w:rPr>
        <w:rFonts w:hint="eastAsia"/>
      </w:rPr>
    </w:lvl>
  </w:abstractNum>
  <w:abstractNum w:abstractNumId="1">
    <w:nsid w:val="28B9783E"/>
    <w:multiLevelType w:val="multilevel"/>
    <w:tmpl w:val="28B9783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FA2D353"/>
    <w:multiLevelType w:val="singleLevel"/>
    <w:tmpl w:val="2FA2D353"/>
    <w:lvl w:ilvl="0" w:tentative="0">
      <w:start w:val="7"/>
      <w:numFmt w:val="decimal"/>
      <w:suff w:val="nothing"/>
      <w:lvlText w:val="%1）"/>
      <w:lvlJc w:val="left"/>
    </w:lvl>
  </w:abstractNum>
  <w:abstractNum w:abstractNumId="3">
    <w:nsid w:val="4AF63437"/>
    <w:multiLevelType w:val="singleLevel"/>
    <w:tmpl w:val="4AF63437"/>
    <w:lvl w:ilvl="0" w:tentative="0">
      <w:start w:val="1"/>
      <w:numFmt w:val="decimal"/>
      <w:suff w:val="nothing"/>
      <w:lvlText w:val="%1、"/>
      <w:lvlJc w:val="left"/>
    </w:lvl>
  </w:abstractNum>
  <w:abstractNum w:abstractNumId="4">
    <w:nsid w:val="54627829"/>
    <w:multiLevelType w:val="multilevel"/>
    <w:tmpl w:val="54627829"/>
    <w:lvl w:ilvl="0" w:tentative="0">
      <w:start w:val="4"/>
      <w:numFmt w:val="japaneseCounting"/>
      <w:lvlText w:val="%1、"/>
      <w:lvlJc w:val="left"/>
      <w:pPr>
        <w:tabs>
          <w:tab w:val="left" w:pos="720"/>
        </w:tabs>
        <w:ind w:left="720" w:hanging="720"/>
      </w:pPr>
      <w:rPr>
        <w:rFonts w:hint="default"/>
        <w:lang w:val="en-US"/>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7536A0"/>
    <w:multiLevelType w:val="singleLevel"/>
    <w:tmpl w:val="567536A0"/>
    <w:lvl w:ilvl="0" w:tentative="0">
      <w:start w:val="2"/>
      <w:numFmt w:val="decimal"/>
      <w:suff w:val="nothing"/>
      <w:lvlText w:val="%1、"/>
      <w:lvlJc w:val="left"/>
      <w:pPr>
        <w:ind w:left="360" w:firstLine="0"/>
      </w:pPr>
    </w:lvl>
  </w:abstractNum>
  <w:abstractNum w:abstractNumId="6">
    <w:nsid w:val="5C7506C0"/>
    <w:multiLevelType w:val="singleLevel"/>
    <w:tmpl w:val="5C7506C0"/>
    <w:lvl w:ilvl="0" w:tentative="0">
      <w:start w:val="5"/>
      <w:numFmt w:val="chineseCounting"/>
      <w:suff w:val="nothing"/>
      <w:lvlText w:val="%1、"/>
      <w:lvlJc w:val="left"/>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lNGI2NzIwNmMwODdhN2I1ZGEyOGNjNWUwMjRlYzkifQ=="/>
  </w:docVars>
  <w:rsids>
    <w:rsidRoot w:val="00B9503C"/>
    <w:rsid w:val="00363E74"/>
    <w:rsid w:val="00432AC1"/>
    <w:rsid w:val="004F6A14"/>
    <w:rsid w:val="007F0693"/>
    <w:rsid w:val="008B7CB4"/>
    <w:rsid w:val="00A00F25"/>
    <w:rsid w:val="00B233E9"/>
    <w:rsid w:val="00B9503C"/>
    <w:rsid w:val="00C5298C"/>
    <w:rsid w:val="00D47617"/>
    <w:rsid w:val="00DB1DDC"/>
    <w:rsid w:val="00FF0A89"/>
    <w:rsid w:val="2D41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Document Map"/>
    <w:basedOn w:val="1"/>
    <w:link w:val="9"/>
    <w:qFormat/>
    <w:uiPriority w:val="99"/>
    <w:pPr>
      <w:shd w:val="clear" w:color="auto" w:fill="000080"/>
    </w:pPr>
    <w:rPr>
      <w:rFonts w:ascii="Times New Roman" w:hAnsi="Times New Roman" w:eastAsia="宋体" w:cs="Times New Roman"/>
      <w:szCs w:val="20"/>
    </w:rPr>
  </w:style>
  <w:style w:type="paragraph" w:styleId="4">
    <w:name w:val="Plain Text"/>
    <w:basedOn w:val="1"/>
    <w:link w:val="10"/>
    <w:qFormat/>
    <w:uiPriority w:val="0"/>
    <w:rPr>
      <w:rFonts w:ascii="宋体" w:hAnsi="Courier New" w:eastAsia="宋体" w:cs="Times New Roman"/>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字符"/>
    <w:basedOn w:val="8"/>
    <w:link w:val="3"/>
    <w:qFormat/>
    <w:uiPriority w:val="99"/>
    <w:rPr>
      <w:rFonts w:ascii="Times New Roman" w:hAnsi="Times New Roman" w:eastAsia="宋体" w:cs="Times New Roman"/>
      <w:szCs w:val="20"/>
      <w:shd w:val="clear" w:color="auto" w:fill="000080"/>
    </w:rPr>
  </w:style>
  <w:style w:type="character" w:customStyle="1" w:styleId="10">
    <w:name w:val="纯文本 字符"/>
    <w:basedOn w:val="8"/>
    <w:link w:val="4"/>
    <w:qFormat/>
    <w:uiPriority w:val="0"/>
    <w:rPr>
      <w:rFonts w:ascii="宋体" w:hAnsi="Courier New" w:eastAsia="宋体" w:cs="Times New Roman"/>
      <w:szCs w:val="24"/>
    </w:rPr>
  </w:style>
  <w:style w:type="character" w:customStyle="1" w:styleId="11">
    <w:name w:val="页脚 字符"/>
    <w:basedOn w:val="8"/>
    <w:link w:val="5"/>
    <w:uiPriority w:val="99"/>
    <w:rPr>
      <w:sz w:val="18"/>
      <w:szCs w:val="18"/>
    </w:rPr>
  </w:style>
  <w:style w:type="character" w:customStyle="1" w:styleId="12">
    <w:name w:val="页眉 字符"/>
    <w:basedOn w:val="8"/>
    <w:link w:val="6"/>
    <w:qFormat/>
    <w:uiPriority w:val="99"/>
    <w:rPr>
      <w:sz w:val="18"/>
      <w:szCs w:val="18"/>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paragraph" w:customStyle="1" w:styleId="14">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3550</Words>
  <Characters>3863</Characters>
  <Lines>33</Lines>
  <Paragraphs>9</Paragraphs>
  <TotalTime>62</TotalTime>
  <ScaleCrop>false</ScaleCrop>
  <LinksUpToDate>false</LinksUpToDate>
  <CharactersWithSpaces>4022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2023-03-22T01:33:00Z</dcterms:created>
  <dc:creator>段 旭洋</dc:creator>
  <cp:lastModifiedBy>王圆圆</cp:lastModifiedBy>
  <dcterms:modified xsi:type="dcterms:W3CDTF">2023-03-27T03:17:20Z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AFE00686B5EC42D3B6553C3100AAB4F7</vt:lpwstr>
  </property>
</Properties>
</file>