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both"/>
        <w:rPr>
          <w:rFonts w:hint="eastAsia" w:ascii="宋体" w:hAnsi="宋体" w:cs="Arial"/>
          <w:b/>
          <w:color w:val="auto"/>
          <w:kern w:val="0"/>
          <w:sz w:val="40"/>
          <w:szCs w:val="40"/>
          <w:u w:val="single"/>
          <w:lang w:val="en-US" w:eastAsia="zh-CN"/>
        </w:rPr>
      </w:pPr>
    </w:p>
    <w:p>
      <w:pPr>
        <w:pStyle w:val="2"/>
        <w:rPr>
          <w:rFonts w:hint="eastAsia"/>
          <w:lang w:val="en-US" w:eastAsia="zh-CN"/>
        </w:rPr>
      </w:pPr>
    </w:p>
    <w:p>
      <w:pPr>
        <w:spacing w:before="120" w:after="120" w:line="360" w:lineRule="auto"/>
        <w:jc w:val="center"/>
        <w:rPr>
          <w:rFonts w:hint="eastAsia" w:ascii="宋体" w:hAnsi="宋体" w:cs="Arial"/>
          <w:b/>
          <w:color w:val="auto"/>
          <w:kern w:val="0"/>
          <w:sz w:val="40"/>
          <w:szCs w:val="40"/>
          <w:u w:val="single"/>
          <w:lang w:val="en-US" w:eastAsia="zh-CN"/>
        </w:rPr>
      </w:pPr>
    </w:p>
    <w:p>
      <w:pPr>
        <w:spacing w:before="120" w:after="120" w:line="360" w:lineRule="auto"/>
        <w:jc w:val="center"/>
        <w:rPr>
          <w:rFonts w:hint="eastAsia" w:ascii="宋体" w:hAnsi="宋体" w:cs="Arial"/>
          <w:b/>
          <w:color w:val="auto"/>
          <w:kern w:val="0"/>
          <w:sz w:val="40"/>
          <w:szCs w:val="40"/>
        </w:rPr>
      </w:pPr>
      <w:r>
        <w:rPr>
          <w:rFonts w:hint="eastAsia" w:ascii="宋体" w:hAnsi="宋体" w:cs="Arial"/>
          <w:b/>
          <w:color w:val="auto"/>
          <w:kern w:val="0"/>
          <w:sz w:val="40"/>
          <w:szCs w:val="40"/>
          <w:u w:val="single"/>
          <w:lang w:val="en-US" w:eastAsia="zh-CN"/>
        </w:rPr>
        <w:t>小间距P1.5显示屏采购招标</w:t>
      </w:r>
    </w:p>
    <w:p>
      <w:pPr>
        <w:spacing w:before="120" w:after="120" w:line="360" w:lineRule="auto"/>
        <w:jc w:val="center"/>
        <w:rPr>
          <w:rFonts w:hint="eastAsia" w:ascii="宋体" w:hAnsi="宋体"/>
          <w:b/>
          <w:color w:val="auto"/>
          <w:sz w:val="24"/>
          <w:szCs w:val="24"/>
        </w:rPr>
      </w:pPr>
    </w:p>
    <w:p>
      <w:pPr>
        <w:spacing w:before="120" w:after="120" w:line="360" w:lineRule="auto"/>
        <w:jc w:val="center"/>
        <w:rPr>
          <w:rFonts w:ascii="宋体" w:hAnsi="宋体"/>
          <w:b/>
          <w:color w:val="auto"/>
          <w:sz w:val="56"/>
          <w:szCs w:val="56"/>
        </w:rPr>
      </w:pPr>
      <w:r>
        <w:rPr>
          <w:rFonts w:hint="eastAsia" w:ascii="宋体" w:hAnsi="宋体"/>
          <w:b/>
          <w:color w:val="auto"/>
          <w:sz w:val="56"/>
          <w:szCs w:val="56"/>
        </w:rPr>
        <w:t>招  标  文  件</w:t>
      </w:r>
    </w:p>
    <w:p>
      <w:pPr>
        <w:ind w:firstLine="1512" w:firstLineChars="630"/>
        <w:jc w:val="center"/>
        <w:rPr>
          <w:rFonts w:hint="eastAsia" w:ascii="宋体" w:hAnsi="宋体"/>
          <w:color w:val="auto"/>
          <w:sz w:val="24"/>
          <w:szCs w:val="24"/>
        </w:rPr>
      </w:pPr>
    </w:p>
    <w:p>
      <w:pPr>
        <w:ind w:firstLine="1518" w:firstLineChars="630"/>
        <w:jc w:val="center"/>
        <w:rPr>
          <w:rFonts w:hint="eastAsia" w:ascii="宋体" w:hAnsi="宋体"/>
          <w:b/>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ind w:firstLine="1054" w:firstLineChars="350"/>
        <w:jc w:val="center"/>
        <w:textAlignment w:val="baseline"/>
        <w:rPr>
          <w:rStyle w:val="21"/>
          <w:rFonts w:hint="default" w:ascii="宋体" w:hAnsi="宋体" w:eastAsia="宋体" w:cs="Times New Roman"/>
          <w:b/>
          <w:color w:val="auto"/>
          <w:kern w:val="2"/>
          <w:sz w:val="30"/>
          <w:szCs w:val="21"/>
          <w:highlight w:val="none"/>
          <w:lang w:val="en-US" w:eastAsia="zh-CN" w:bidi="ar-SA"/>
        </w:rPr>
      </w:pPr>
      <w:r>
        <w:rPr>
          <w:rStyle w:val="21"/>
          <w:rFonts w:hint="eastAsia" w:ascii="宋体" w:hAnsi="宋体" w:eastAsia="宋体" w:cs="Times New Roman"/>
          <w:b/>
          <w:color w:val="auto"/>
          <w:kern w:val="2"/>
          <w:sz w:val="30"/>
          <w:szCs w:val="21"/>
          <w:highlight w:val="none"/>
          <w:lang w:val="en-US" w:eastAsia="zh-CN" w:bidi="ar-SA"/>
        </w:rPr>
        <w:t>招标人：河北建工智能科技有限公司</w:t>
      </w:r>
    </w:p>
    <w:p>
      <w:pPr>
        <w:jc w:val="center"/>
        <w:textAlignment w:val="baseline"/>
        <w:rPr>
          <w:rStyle w:val="21"/>
          <w:rFonts w:hint="eastAsia" w:ascii="宋体" w:hAnsi="宋体" w:eastAsia="宋体" w:cs="Times New Roman"/>
          <w:b/>
          <w:color w:val="auto"/>
          <w:kern w:val="2"/>
          <w:sz w:val="30"/>
          <w:szCs w:val="21"/>
          <w:highlight w:val="none"/>
          <w:lang w:val="en-US" w:eastAsia="zh-CN" w:bidi="ar-SA"/>
        </w:rPr>
      </w:pPr>
    </w:p>
    <w:p>
      <w:pPr>
        <w:jc w:val="center"/>
        <w:textAlignment w:val="baseline"/>
        <w:rPr>
          <w:rStyle w:val="21"/>
          <w:rFonts w:hint="eastAsia" w:ascii="宋体" w:hAnsi="宋体" w:eastAsia="宋体" w:cs="Times New Roman"/>
          <w:b/>
          <w:color w:val="auto"/>
          <w:kern w:val="2"/>
          <w:sz w:val="30"/>
          <w:szCs w:val="21"/>
          <w:highlight w:val="none"/>
          <w:lang w:val="en-US" w:eastAsia="zh-CN" w:bidi="ar-SA"/>
        </w:rPr>
        <w:sectPr>
          <w:pgSz w:w="11906" w:h="16838"/>
          <w:pgMar w:top="1293" w:right="1440" w:bottom="1293" w:left="1440" w:header="851" w:footer="992" w:gutter="0"/>
          <w:pgNumType w:fmt="decimal" w:start="1"/>
          <w:cols w:space="425" w:num="1"/>
          <w:docGrid w:type="lines" w:linePitch="312" w:charSpace="0"/>
        </w:sectPr>
      </w:pPr>
      <w:r>
        <w:rPr>
          <w:rStyle w:val="21"/>
          <w:rFonts w:hint="eastAsia" w:ascii="宋体" w:hAnsi="宋体" w:eastAsia="宋体" w:cs="Times New Roman"/>
          <w:b/>
          <w:color w:val="auto"/>
          <w:kern w:val="2"/>
          <w:sz w:val="30"/>
          <w:szCs w:val="21"/>
          <w:highlight w:val="none"/>
          <w:lang w:val="en-US" w:eastAsia="zh-CN" w:bidi="ar-SA"/>
        </w:rPr>
        <w:t>2023年11月28日</w:t>
      </w:r>
    </w:p>
    <w:p>
      <w:pPr>
        <w:bidi w:val="0"/>
        <w:jc w:val="center"/>
        <w:rPr>
          <w:rFonts w:hint="eastAsia" w:ascii="宋体" w:hAnsi="宋体"/>
          <w:b/>
          <w:color w:val="auto"/>
          <w:sz w:val="40"/>
          <w:szCs w:val="40"/>
        </w:rPr>
      </w:pPr>
    </w:p>
    <w:p>
      <w:pPr>
        <w:bidi w:val="0"/>
        <w:jc w:val="center"/>
        <w:rPr>
          <w:rFonts w:hint="eastAsia" w:ascii="宋体" w:hAnsi="宋体"/>
          <w:b/>
          <w:color w:val="auto"/>
          <w:sz w:val="40"/>
          <w:szCs w:val="40"/>
        </w:rPr>
      </w:pPr>
    </w:p>
    <w:p>
      <w:pPr>
        <w:bidi w:val="0"/>
        <w:jc w:val="center"/>
        <w:rPr>
          <w:rFonts w:hint="eastAsia" w:ascii="宋体" w:hAnsi="宋体"/>
          <w:b/>
          <w:color w:val="auto"/>
          <w:sz w:val="40"/>
          <w:szCs w:val="40"/>
        </w:rPr>
      </w:pPr>
      <w:r>
        <w:rPr>
          <w:rFonts w:hint="eastAsia" w:ascii="宋体" w:hAnsi="宋体"/>
          <w:b/>
          <w:color w:val="auto"/>
          <w:sz w:val="40"/>
          <w:szCs w:val="40"/>
        </w:rPr>
        <w:t>总</w:t>
      </w:r>
      <w:r>
        <w:rPr>
          <w:rFonts w:ascii="宋体" w:hAnsi="宋体"/>
          <w:b/>
          <w:color w:val="auto"/>
          <w:sz w:val="40"/>
          <w:szCs w:val="40"/>
        </w:rPr>
        <w:t xml:space="preserve">   </w:t>
      </w:r>
      <w:r>
        <w:rPr>
          <w:rFonts w:hint="eastAsia" w:ascii="宋体" w:hAnsi="宋体"/>
          <w:b/>
          <w:color w:val="auto"/>
          <w:sz w:val="40"/>
          <w:szCs w:val="40"/>
        </w:rPr>
        <w:t>目</w:t>
      </w:r>
      <w:r>
        <w:rPr>
          <w:rFonts w:ascii="宋体" w:hAnsi="宋体"/>
          <w:b/>
          <w:color w:val="auto"/>
          <w:sz w:val="40"/>
          <w:szCs w:val="40"/>
        </w:rPr>
        <w:t xml:space="preserve">   </w:t>
      </w:r>
      <w:r>
        <w:rPr>
          <w:rFonts w:hint="eastAsia" w:ascii="宋体" w:hAnsi="宋体"/>
          <w:b/>
          <w:color w:val="auto"/>
          <w:sz w:val="40"/>
          <w:szCs w:val="40"/>
        </w:rPr>
        <w:t>录</w:t>
      </w:r>
    </w:p>
    <w:p>
      <w:pPr>
        <w:pStyle w:val="2"/>
        <w:rPr>
          <w:rFonts w:hint="eastAsia"/>
        </w:rPr>
      </w:pP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eastAsia" w:hAnsi="宋体"/>
          <w:b w:val="0"/>
          <w:bCs/>
          <w:color w:val="auto"/>
          <w:sz w:val="36"/>
          <w:szCs w:val="36"/>
          <w:lang w:val="en-US" w:eastAsia="zh-CN"/>
        </w:rPr>
      </w:pPr>
      <w:r>
        <w:rPr>
          <w:rFonts w:hint="eastAsia" w:hAnsi="宋体"/>
          <w:b w:val="0"/>
          <w:bCs/>
          <w:color w:val="auto"/>
          <w:sz w:val="36"/>
          <w:szCs w:val="36"/>
          <w:lang w:val="en-US" w:eastAsia="zh-CN"/>
        </w:rPr>
        <w:t xml:space="preserve">  招标公告</w:t>
      </w: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default" w:hAnsi="宋体"/>
          <w:b w:val="0"/>
          <w:bCs/>
          <w:color w:val="auto"/>
          <w:sz w:val="36"/>
          <w:szCs w:val="36"/>
          <w:lang w:val="en-US" w:eastAsia="zh-CN"/>
        </w:rPr>
      </w:pPr>
      <w:r>
        <w:rPr>
          <w:rFonts w:hint="eastAsia" w:hAnsi="宋体"/>
          <w:b w:val="0"/>
          <w:bCs/>
          <w:color w:val="auto"/>
          <w:sz w:val="36"/>
          <w:szCs w:val="36"/>
          <w:lang w:val="en-US" w:eastAsia="zh-CN"/>
        </w:rPr>
        <w:t xml:space="preserve">  投标须知</w:t>
      </w:r>
    </w:p>
    <w:p>
      <w:pPr>
        <w:pStyle w:val="2"/>
        <w:keepNext w:val="0"/>
        <w:keepLines w:val="0"/>
        <w:pageBreakBefore w:val="0"/>
        <w:widowControl/>
        <w:numPr>
          <w:ilvl w:val="0"/>
          <w:numId w:val="2"/>
        </w:numPr>
        <w:kinsoku/>
        <w:wordWrap/>
        <w:overflowPunct w:val="0"/>
        <w:topLinePunct w:val="0"/>
        <w:autoSpaceDE w:val="0"/>
        <w:autoSpaceDN w:val="0"/>
        <w:bidi w:val="0"/>
        <w:adjustRightInd w:val="0"/>
        <w:snapToGrid/>
        <w:spacing w:line="1400" w:lineRule="exact"/>
        <w:ind w:left="-200" w:leftChars="0" w:firstLineChars="0"/>
        <w:textAlignment w:val="baseline"/>
        <w:rPr>
          <w:rFonts w:hint="default" w:hAnsi="宋体"/>
          <w:b w:val="0"/>
          <w:bCs/>
          <w:color w:val="auto"/>
          <w:sz w:val="36"/>
          <w:szCs w:val="36"/>
          <w:lang w:val="en-US" w:eastAsia="zh-CN"/>
        </w:rPr>
      </w:pPr>
      <w:r>
        <w:rPr>
          <w:rFonts w:hint="eastAsia" w:hAnsi="宋体"/>
          <w:b w:val="0"/>
          <w:bCs/>
          <w:color w:val="auto"/>
          <w:sz w:val="36"/>
          <w:szCs w:val="36"/>
          <w:lang w:val="en-US" w:eastAsia="zh-CN"/>
        </w:rPr>
        <w:t xml:space="preserve">  招标清单</w:t>
      </w:r>
    </w:p>
    <w:sdt>
      <w:sdtPr>
        <w:rPr>
          <w:rFonts w:ascii="宋体" w:hAnsi="宋体" w:eastAsia="宋体" w:cstheme="minorBidi"/>
          <w:kern w:val="2"/>
          <w:sz w:val="21"/>
          <w:szCs w:val="24"/>
          <w:lang w:val="en-US" w:eastAsia="zh-CN" w:bidi="ar-SA"/>
        </w:rPr>
        <w:id w:val="147475320"/>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keepNext w:val="0"/>
            <w:keepLines w:val="0"/>
            <w:pageBreakBefore w:val="0"/>
            <w:kinsoku/>
            <w:wordWrap/>
            <w:topLinePunct w:val="0"/>
            <w:bidi w:val="0"/>
            <w:snapToGrid/>
            <w:spacing w:line="1400" w:lineRule="exact"/>
            <w:rPr>
              <w:rFonts w:hint="eastAsia"/>
              <w:lang w:val="en-US" w:eastAsia="zh-CN"/>
            </w:rPr>
          </w:pPr>
        </w:p>
      </w:sdtContent>
    </w:sdt>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360" w:lineRule="auto"/>
        <w:jc w:val="center"/>
        <w:outlineLvl w:val="0"/>
        <w:rPr>
          <w:rFonts w:hint="eastAsia" w:ascii="宋体" w:hAnsi="宋体" w:eastAsia="宋体" w:cs="宋体"/>
          <w:b/>
          <w:color w:val="auto"/>
          <w:spacing w:val="40"/>
          <w:sz w:val="40"/>
          <w:szCs w:val="40"/>
        </w:rPr>
      </w:pPr>
      <w:bookmarkStart w:id="0" w:name="_Toc31454"/>
      <w:r>
        <w:rPr>
          <w:rFonts w:hint="eastAsia" w:ascii="宋体" w:hAnsi="宋体" w:eastAsia="宋体" w:cs="宋体"/>
          <w:b/>
          <w:color w:val="auto"/>
          <w:spacing w:val="40"/>
          <w:sz w:val="40"/>
          <w:szCs w:val="40"/>
        </w:rPr>
        <w:t>一</w:t>
      </w:r>
      <w:r>
        <w:rPr>
          <w:rFonts w:hint="eastAsia" w:ascii="宋体" w:hAnsi="宋体" w:eastAsia="宋体" w:cs="宋体"/>
          <w:b/>
          <w:color w:val="auto"/>
          <w:spacing w:val="40"/>
          <w:sz w:val="40"/>
          <w:szCs w:val="40"/>
          <w:lang w:val="en-US" w:eastAsia="zh-CN"/>
        </w:rPr>
        <w:t>、</w:t>
      </w:r>
      <w:r>
        <w:rPr>
          <w:rFonts w:hint="eastAsia" w:ascii="宋体" w:hAnsi="宋体" w:eastAsia="宋体" w:cs="宋体"/>
          <w:b/>
          <w:color w:val="auto"/>
          <w:spacing w:val="40"/>
          <w:sz w:val="40"/>
          <w:szCs w:val="40"/>
        </w:rPr>
        <w:t>招标公告</w:t>
      </w:r>
      <w:bookmarkEnd w:id="0"/>
    </w:p>
    <w:p>
      <w:pPr>
        <w:jc w:val="center"/>
        <w:rPr>
          <w:rFonts w:hint="eastAsia"/>
          <w:b/>
          <w:bCs/>
          <w:sz w:val="28"/>
          <w:szCs w:val="28"/>
          <w:lang w:val="en-US" w:eastAsia="zh-CN"/>
        </w:rPr>
      </w:pPr>
      <w:bookmarkStart w:id="1" w:name="_Toc32709"/>
      <w:r>
        <w:rPr>
          <w:rFonts w:hint="eastAsia"/>
          <w:b/>
          <w:bCs/>
          <w:sz w:val="28"/>
          <w:szCs w:val="28"/>
          <w:lang w:val="en-US" w:eastAsia="zh-CN"/>
        </w:rPr>
        <w:t>小间距P1.5显示屏采购招标</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i w:val="0"/>
          <w:caps w:val="0"/>
          <w:color w:val="auto"/>
          <w:spacing w:val="0"/>
          <w:kern w:val="0"/>
          <w:sz w:val="28"/>
          <w:szCs w:val="28"/>
          <w:highlight w:val="none"/>
          <w:u w:val="none"/>
          <w:shd w:val="clear" w:color="auto" w:fill="FFFFFF"/>
          <w:lang w:val="en-US" w:eastAsia="zh-CN" w:bidi="ar"/>
        </w:rPr>
        <w:t>河北建工智能科技有限公司</w:t>
      </w:r>
      <w:r>
        <w:rPr>
          <w:rFonts w:hint="eastAsia" w:ascii="宋体" w:hAnsi="宋体" w:eastAsia="宋体" w:cs="宋体"/>
          <w:b w:val="0"/>
          <w:bCs/>
          <w:i w:val="0"/>
          <w:caps w:val="0"/>
          <w:color w:val="auto"/>
          <w:spacing w:val="0"/>
          <w:kern w:val="0"/>
          <w:sz w:val="28"/>
          <w:szCs w:val="28"/>
          <w:highlight w:val="none"/>
          <w:shd w:val="clear" w:color="auto" w:fill="FFFFFF"/>
          <w:lang w:val="en-US" w:eastAsia="zh-CN" w:bidi="ar"/>
        </w:rPr>
        <w:t>现对小间距P1.5显示屏进行采购招标，</w:t>
      </w:r>
      <w:r>
        <w:rPr>
          <w:rFonts w:hint="eastAsia" w:ascii="宋体" w:hAnsi="宋体" w:eastAsia="宋体" w:cs="宋体"/>
          <w:b w:val="0"/>
          <w:bCs/>
          <w:i w:val="0"/>
          <w:caps w:val="0"/>
          <w:color w:val="auto"/>
          <w:spacing w:val="0"/>
          <w:kern w:val="0"/>
          <w:sz w:val="28"/>
          <w:szCs w:val="28"/>
          <w:highlight w:val="none"/>
          <w:u w:val="none"/>
          <w:shd w:val="clear" w:color="auto" w:fill="FFFFFF"/>
          <w:lang w:val="en-US" w:eastAsia="zh-CN" w:bidi="ar"/>
        </w:rPr>
        <w:t>招标编号:20231128-017，</w:t>
      </w:r>
      <w:r>
        <w:rPr>
          <w:rFonts w:hint="eastAsia" w:ascii="宋体" w:hAnsi="宋体" w:eastAsia="宋体" w:cs="宋体"/>
          <w:b w:val="0"/>
          <w:bCs/>
          <w:i w:val="0"/>
          <w:caps w:val="0"/>
          <w:color w:val="auto"/>
          <w:spacing w:val="0"/>
          <w:kern w:val="0"/>
          <w:sz w:val="28"/>
          <w:szCs w:val="28"/>
          <w:highlight w:val="none"/>
          <w:shd w:val="clear" w:color="auto" w:fill="FFFFFF"/>
          <w:lang w:val="en-US" w:eastAsia="zh-CN" w:bidi="ar"/>
        </w:rPr>
        <w:t>欢迎符合条件的承包人参加投标。</w:t>
      </w:r>
    </w:p>
    <w:bookmarkEnd w:id="1"/>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rPr>
      </w:pPr>
      <w:bookmarkStart w:id="2" w:name="_Toc11322"/>
      <w:r>
        <w:rPr>
          <w:rFonts w:hint="eastAsia" w:ascii="宋体" w:hAnsi="宋体" w:eastAsia="宋体" w:cs="宋体"/>
          <w:b/>
          <w:sz w:val="28"/>
          <w:szCs w:val="28"/>
          <w:lang w:val="en-US" w:eastAsia="zh-CN"/>
        </w:rPr>
        <w:t>1</w:t>
      </w:r>
      <w:r>
        <w:rPr>
          <w:rFonts w:hint="eastAsia" w:ascii="宋体" w:hAnsi="宋体" w:eastAsia="宋体" w:cs="宋体"/>
          <w:b/>
          <w:sz w:val="28"/>
          <w:szCs w:val="28"/>
          <w:lang w:eastAsia="zh-CN"/>
        </w:rPr>
        <w:t>、</w:t>
      </w:r>
      <w:r>
        <w:rPr>
          <w:rFonts w:hint="eastAsia" w:ascii="宋体" w:hAnsi="宋体" w:eastAsia="宋体" w:cs="宋体"/>
          <w:b/>
          <w:sz w:val="28"/>
          <w:szCs w:val="28"/>
        </w:rPr>
        <w:t>投标人资格要求</w:t>
      </w:r>
      <w:bookmarkEnd w:id="2"/>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1.1具有独立法人资格和有效的营业执照、具有相应工程材料的供应能力，且在人员、设备、资金等方面具有相应的履约能力；</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1.2单位负责人为同一人或者存在直接控股、管理关系的不同投标人，不得参加同一合同项下的投标；</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1.3本次招标不接受联合体投标；</w:t>
      </w:r>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eastAsia"/>
          <w:lang w:val="en-US" w:eastAsia="zh-CN"/>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1.4营业执照（必须项）、代理资格证书（必须项，厂家不需提供）、3C认证（必须项）、安全生产许可证（如有请提供）、资质证书（如有请提供）；</w:t>
      </w:r>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lang w:val="en-US" w:eastAsia="zh-CN"/>
        </w:rPr>
      </w:pPr>
      <w:bookmarkStart w:id="3" w:name="_Toc26894"/>
      <w:r>
        <w:rPr>
          <w:rFonts w:hint="eastAsia" w:ascii="宋体" w:hAnsi="宋体" w:eastAsia="宋体" w:cs="宋体"/>
          <w:b/>
          <w:sz w:val="28"/>
          <w:szCs w:val="28"/>
          <w:lang w:val="en-US" w:eastAsia="zh-CN"/>
        </w:rPr>
        <w:t>3、</w:t>
      </w:r>
      <w:r>
        <w:rPr>
          <w:rFonts w:hint="eastAsia" w:ascii="宋体" w:hAnsi="宋体" w:eastAsia="宋体" w:cs="宋体"/>
          <w:b/>
          <w:sz w:val="28"/>
          <w:szCs w:val="28"/>
        </w:rPr>
        <w:t>招标</w:t>
      </w:r>
      <w:r>
        <w:rPr>
          <w:rFonts w:hint="eastAsia" w:ascii="宋体" w:hAnsi="宋体" w:eastAsia="宋体" w:cs="宋体"/>
          <w:b/>
          <w:sz w:val="28"/>
          <w:szCs w:val="28"/>
          <w:lang w:val="en-US" w:eastAsia="zh-CN"/>
        </w:rPr>
        <w:t>清单</w:t>
      </w:r>
      <w:bookmarkEnd w:id="3"/>
    </w:p>
    <w:p>
      <w:pPr>
        <w:keepNext w:val="0"/>
        <w:keepLines w:val="0"/>
        <w:pageBreakBefore w:val="0"/>
        <w:widowControl w:val="0"/>
        <w:kinsoku/>
        <w:wordWrap/>
        <w:overflowPunct/>
        <w:topLinePunct w:val="0"/>
        <w:autoSpaceDE w:val="0"/>
        <w:autoSpaceDN w:val="0"/>
        <w:bidi w:val="0"/>
        <w:adjustRightInd w:val="0"/>
        <w:snapToGrid/>
        <w:spacing w:after="200" w:line="600" w:lineRule="exact"/>
        <w:ind w:firstLine="480" w:firstLineChars="200"/>
        <w:jc w:val="left"/>
        <w:textAlignment w:val="auto"/>
        <w:rPr>
          <w:rFonts w:hint="default"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详见后附。</w:t>
      </w:r>
    </w:p>
    <w:p>
      <w:pPr>
        <w:keepNext w:val="0"/>
        <w:keepLines w:val="0"/>
        <w:pageBreakBefore w:val="0"/>
        <w:kinsoku/>
        <w:wordWrap/>
        <w:topLinePunct w:val="0"/>
        <w:bidi w:val="0"/>
        <w:snapToGrid/>
        <w:spacing w:line="540" w:lineRule="atLeast"/>
        <w:outlineLvl w:val="1"/>
        <w:rPr>
          <w:rFonts w:hint="default" w:ascii="宋体" w:hAnsi="宋体" w:eastAsia="宋体" w:cs="宋体"/>
          <w:b/>
          <w:sz w:val="28"/>
          <w:szCs w:val="28"/>
          <w:lang w:val="en-US" w:eastAsia="zh-CN"/>
        </w:rPr>
      </w:pPr>
      <w:bookmarkStart w:id="4" w:name="_Toc20710"/>
      <w:r>
        <w:rPr>
          <w:rFonts w:hint="eastAsia" w:ascii="宋体" w:hAnsi="宋体" w:eastAsia="宋体" w:cs="宋体"/>
          <w:b/>
          <w:sz w:val="28"/>
          <w:szCs w:val="28"/>
          <w:lang w:val="en-US" w:eastAsia="zh-CN"/>
        </w:rPr>
        <w:t>4、</w:t>
      </w:r>
      <w:bookmarkEnd w:id="4"/>
      <w:r>
        <w:rPr>
          <w:rFonts w:hint="eastAsia" w:ascii="宋体" w:hAnsi="宋体" w:eastAsia="宋体" w:cs="宋体"/>
          <w:b/>
          <w:sz w:val="28"/>
          <w:szCs w:val="28"/>
          <w:lang w:val="en-US" w:eastAsia="zh-CN"/>
        </w:rPr>
        <w:t>报价说明</w:t>
      </w:r>
    </w:p>
    <w:p>
      <w:pPr>
        <w:pStyle w:val="2"/>
        <w:numPr>
          <w:ilvl w:val="0"/>
          <w:numId w:val="3"/>
        </w:numP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pPr>
      <w:bookmarkStart w:id="5" w:name="_Toc20374"/>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此报价包含运费，运输至甲方指定位置。</w:t>
      </w:r>
    </w:p>
    <w:p>
      <w:pPr>
        <w:pStyle w:val="2"/>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此报价含13%增值税。</w:t>
      </w:r>
    </w:p>
    <w:p>
      <w:pPr>
        <w:pStyle w:val="2"/>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此报价包含</w:t>
      </w:r>
      <w:r>
        <w:rPr>
          <w:rFonts w:hint="eastAsia" w:hAnsi="宋体" w:eastAsia="宋体" w:cs="宋体"/>
          <w:b w:val="0"/>
          <w:bCs/>
          <w:i w:val="0"/>
          <w:caps w:val="0"/>
          <w:color w:val="FF0000"/>
          <w:spacing w:val="0"/>
          <w:kern w:val="0"/>
          <w:sz w:val="24"/>
          <w:szCs w:val="24"/>
          <w:highlight w:val="none"/>
          <w:shd w:val="clear" w:color="auto" w:fill="FFFFFF"/>
          <w:lang w:val="en-US" w:eastAsia="zh-CN" w:bidi="ar"/>
        </w:rPr>
        <w:t>安装</w:t>
      </w: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调试费。</w:t>
      </w:r>
    </w:p>
    <w:p>
      <w:pPr>
        <w:pStyle w:val="2"/>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质保期两年</w:t>
      </w:r>
    </w:p>
    <w:p>
      <w:pPr>
        <w:keepNext w:val="0"/>
        <w:keepLines w:val="0"/>
        <w:pageBreakBefore w:val="0"/>
        <w:kinsoku/>
        <w:wordWrap/>
        <w:topLinePunct w:val="0"/>
        <w:bidi w:val="0"/>
        <w:snapToGrid/>
        <w:spacing w:line="540" w:lineRule="atLeast"/>
        <w:outlineLvl w:val="1"/>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5、付款方式</w:t>
      </w:r>
    </w:p>
    <w:p>
      <w:pPr>
        <w:pStyle w:val="14"/>
        <w:keepNext w:val="0"/>
        <w:keepLines w:val="0"/>
        <w:pageBreakBefore w:val="0"/>
        <w:widowControl/>
        <w:kinsoku/>
        <w:wordWrap/>
        <w:overflowPunct/>
        <w:topLinePunct w:val="0"/>
        <w:autoSpaceDE/>
        <w:autoSpaceDN/>
        <w:bidi w:val="0"/>
        <w:adjustRightInd/>
        <w:snapToGrid/>
        <w:spacing w:line="540" w:lineRule="atLeast"/>
        <w:ind w:firstLine="480" w:firstLineChars="200"/>
        <w:jc w:val="left"/>
        <w:textAlignment w:val="auto"/>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货到现场安装调试完成后（</w:t>
      </w:r>
      <w:r>
        <w:rPr>
          <w:rFonts w:hint="eastAsia" w:ascii="宋体" w:hAnsi="宋体" w:cs="宋体"/>
          <w:b w:val="0"/>
          <w:bCs/>
          <w:i w:val="0"/>
          <w:caps w:val="0"/>
          <w:color w:val="FF0000"/>
          <w:spacing w:val="0"/>
          <w:kern w:val="0"/>
          <w:sz w:val="24"/>
          <w:szCs w:val="24"/>
          <w:highlight w:val="none"/>
          <w:shd w:val="clear" w:color="auto" w:fill="FFFFFF"/>
          <w:lang w:val="en-US" w:eastAsia="zh-CN" w:bidi="ar"/>
        </w:rPr>
        <w:t>两</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个月</w:t>
      </w:r>
      <w:r>
        <w:rPr>
          <w:rFonts w:hint="eastAsia" w:ascii="宋体" w:hAnsi="宋体" w:cs="宋体"/>
          <w:b w:val="0"/>
          <w:bCs/>
          <w:i w:val="0"/>
          <w:caps w:val="0"/>
          <w:color w:val="FF0000"/>
          <w:spacing w:val="0"/>
          <w:kern w:val="0"/>
          <w:sz w:val="24"/>
          <w:szCs w:val="24"/>
          <w:highlight w:val="none"/>
          <w:shd w:val="clear" w:color="auto" w:fill="FFFFFF"/>
          <w:lang w:val="en-US" w:eastAsia="zh-CN" w:bidi="ar"/>
        </w:rPr>
        <w:t>左右</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账期）付100%</w:t>
      </w:r>
      <w:r>
        <w:rPr>
          <w:rFonts w:hint="eastAsia" w:ascii="宋体" w:hAnsi="宋体" w:cs="宋体"/>
          <w:b w:val="0"/>
          <w:bCs/>
          <w:i w:val="0"/>
          <w:caps w:val="0"/>
          <w:color w:val="FF0000"/>
          <w:spacing w:val="0"/>
          <w:kern w:val="0"/>
          <w:sz w:val="24"/>
          <w:szCs w:val="24"/>
          <w:highlight w:val="none"/>
          <w:shd w:val="clear" w:color="auto" w:fill="FFFFFF"/>
          <w:lang w:val="en-US" w:eastAsia="zh-CN" w:bidi="ar"/>
        </w:rPr>
        <w:t>，</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可根据实际情况协商调整</w:t>
      </w:r>
      <w:r>
        <w:rPr>
          <w:rFonts w:hint="eastAsia" w:ascii="宋体" w:hAnsi="宋体" w:cs="宋体"/>
          <w:b w:val="0"/>
          <w:bCs/>
          <w:i w:val="0"/>
          <w:caps w:val="0"/>
          <w:color w:val="FF0000"/>
          <w:spacing w:val="0"/>
          <w:kern w:val="0"/>
          <w:sz w:val="24"/>
          <w:szCs w:val="24"/>
          <w:highlight w:val="none"/>
          <w:shd w:val="clear" w:color="auto" w:fill="FFFFFF"/>
          <w:lang w:val="en-US" w:eastAsia="zh-CN" w:bidi="ar"/>
        </w:rPr>
        <w:t>。</w:t>
      </w:r>
    </w:p>
    <w:p>
      <w:pPr>
        <w:keepNext w:val="0"/>
        <w:keepLines w:val="0"/>
        <w:pageBreakBefore w:val="0"/>
        <w:kinsoku/>
        <w:wordWrap/>
        <w:topLinePunct w:val="0"/>
        <w:bidi w:val="0"/>
        <w:snapToGrid/>
        <w:spacing w:line="540" w:lineRule="atLeast"/>
        <w:outlineLvl w:val="1"/>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6、招投标时间</w:t>
      </w:r>
      <w:bookmarkEnd w:id="5"/>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招标公告公示时间：2023年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11</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28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12</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1</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w:t>
      </w:r>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报名截至时间：    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11</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30</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日，下午1</w:t>
      </w:r>
      <w:r>
        <w:rPr>
          <w:rFonts w:hint="eastAsia" w:ascii="宋体" w:hAnsi="宋体" w:cs="宋体"/>
          <w:b w:val="0"/>
          <w:bCs/>
          <w:i w:val="0"/>
          <w:caps w:val="0"/>
          <w:color w:val="auto"/>
          <w:spacing w:val="0"/>
          <w:kern w:val="0"/>
          <w:sz w:val="24"/>
          <w:szCs w:val="24"/>
          <w:highlight w:val="none"/>
          <w:shd w:val="clear" w:color="auto" w:fill="FFFFFF"/>
          <w:lang w:val="en-US" w:eastAsia="zh-CN" w:bidi="ar"/>
        </w:rPr>
        <w:t>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:00</w:t>
      </w:r>
    </w:p>
    <w:p>
      <w:pPr>
        <w:pStyle w:val="14"/>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公司地址：河北省石家庄市石获南路66号建工大厦A座9楼</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 xml:space="preserve">联系人：贾建波（技术负责人）       联系电话：18031127705       </w:t>
      </w:r>
    </w:p>
    <w:p>
      <w:pPr>
        <w:pStyle w:val="2"/>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曹赛</w:t>
      </w: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（现场负责人）</w:t>
      </w: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联系电话</w:t>
      </w:r>
      <w:r>
        <w:rPr>
          <w:rFonts w:hint="eastAsia" w:hAnsi="宋体" w:eastAsia="宋体" w:cs="宋体"/>
          <w:b w:val="0"/>
          <w:bCs/>
          <w:i w:val="0"/>
          <w:caps w:val="0"/>
          <w:color w:val="auto"/>
          <w:spacing w:val="0"/>
          <w:kern w:val="0"/>
          <w:sz w:val="24"/>
          <w:szCs w:val="24"/>
          <w:highlight w:val="none"/>
          <w:shd w:val="clear" w:color="auto" w:fill="FFFFFF"/>
          <w:lang w:val="en-US" w:eastAsia="zh-CN" w:bidi="ar"/>
        </w:rPr>
        <w:t>：</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15373953556</w:t>
      </w:r>
    </w:p>
    <w:p>
      <w:pPr>
        <w:pStyle w:val="2"/>
        <w:rPr>
          <w:rFonts w:hint="default"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 xml:space="preserve">      </w:t>
      </w:r>
      <w:r>
        <w:rPr>
          <w:rFonts w:hint="eastAsia" w:hAnsi="宋体" w:eastAsia="宋体" w:cs="宋体"/>
          <w:b w:val="0"/>
          <w:bCs/>
          <w:i w:val="0"/>
          <w:caps w:val="0"/>
          <w:color w:val="auto"/>
          <w:spacing w:val="0"/>
          <w:kern w:val="0"/>
          <w:sz w:val="24"/>
          <w:szCs w:val="24"/>
          <w:highlight w:val="none"/>
          <w:shd w:val="clear" w:color="auto" w:fill="FFFFFF"/>
          <w:lang w:val="en-US" w:eastAsia="zh-CN" w:bidi="ar"/>
        </w:rPr>
        <w:t xml:space="preserve"> 刘长福 </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（注册报价问题）  联系电话：15632706973</w:t>
      </w: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spacing w:after="120" w:afterLines="50" w:line="500" w:lineRule="exact"/>
        <w:jc w:val="center"/>
        <w:rPr>
          <w:rFonts w:hint="eastAsia" w:ascii="宋体" w:hAnsi="宋体" w:eastAsia="宋体" w:cs="宋体"/>
          <w:b/>
          <w:bCs/>
          <w:color w:val="auto"/>
          <w:sz w:val="36"/>
          <w:szCs w:val="36"/>
          <w:highlight w:val="no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195"/>
        </w:tabs>
        <w:bidi w:val="0"/>
        <w:jc w:val="left"/>
        <w:rPr>
          <w:rFonts w:hint="eastAsia" w:ascii="宋体" w:hAnsi="宋体" w:eastAsia="宋体" w:cs="宋体"/>
          <w:b/>
          <w:bCs/>
          <w:color w:val="auto"/>
          <w:sz w:val="36"/>
          <w:szCs w:val="36"/>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lang w:val="en-US" w:eastAsia="zh-CN"/>
        </w:rPr>
        <w:tab/>
      </w:r>
    </w:p>
    <w:p>
      <w:pPr>
        <w:spacing w:line="360" w:lineRule="auto"/>
        <w:jc w:val="center"/>
        <w:outlineLvl w:val="0"/>
        <w:rPr>
          <w:rFonts w:hint="eastAsia" w:ascii="宋体" w:hAnsi="宋体" w:eastAsia="宋体" w:cs="宋体"/>
          <w:b/>
          <w:color w:val="auto"/>
          <w:spacing w:val="40"/>
          <w:sz w:val="40"/>
          <w:szCs w:val="40"/>
        </w:rPr>
      </w:pPr>
      <w:r>
        <w:rPr>
          <w:rFonts w:hint="eastAsia" w:ascii="宋体" w:hAnsi="宋体" w:eastAsia="宋体" w:cs="宋体"/>
          <w:b/>
          <w:color w:val="auto"/>
          <w:spacing w:val="40"/>
          <w:sz w:val="40"/>
          <w:szCs w:val="40"/>
          <w:lang w:val="en-US" w:eastAsia="zh-CN"/>
        </w:rPr>
        <w:t xml:space="preserve"> </w:t>
      </w:r>
      <w:bookmarkStart w:id="6" w:name="_Toc15693"/>
      <w:r>
        <w:rPr>
          <w:rFonts w:hint="eastAsia" w:ascii="宋体" w:hAnsi="宋体" w:eastAsia="宋体" w:cs="宋体"/>
          <w:b/>
          <w:color w:val="auto"/>
          <w:spacing w:val="40"/>
          <w:sz w:val="40"/>
          <w:szCs w:val="40"/>
          <w:lang w:val="en-US" w:eastAsia="zh-CN"/>
        </w:rPr>
        <w:t>二、</w:t>
      </w:r>
      <w:r>
        <w:rPr>
          <w:rFonts w:hint="eastAsia" w:ascii="宋体" w:hAnsi="宋体" w:eastAsia="宋体" w:cs="宋体"/>
          <w:b/>
          <w:color w:val="auto"/>
          <w:spacing w:val="40"/>
          <w:sz w:val="40"/>
          <w:szCs w:val="40"/>
        </w:rPr>
        <w:t>投标须知</w:t>
      </w:r>
      <w:bookmarkEnd w:id="6"/>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lang w:val="en-US" w:eastAsia="zh-CN"/>
        </w:rPr>
      </w:pPr>
      <w:bookmarkStart w:id="7" w:name="_Toc20868"/>
      <w:r>
        <w:rPr>
          <w:rFonts w:hint="eastAsia" w:ascii="宋体" w:hAnsi="宋体" w:eastAsia="宋体" w:cs="宋体"/>
          <w:b/>
          <w:sz w:val="28"/>
          <w:szCs w:val="28"/>
          <w:lang w:val="en-US" w:eastAsia="zh-CN"/>
        </w:rPr>
        <w:t>1、投标须知前附表</w:t>
      </w:r>
      <w:bookmarkEnd w:id="7"/>
    </w:p>
    <w:tbl>
      <w:tblPr>
        <w:tblStyle w:val="11"/>
        <w:tblpPr w:leftFromText="180" w:rightFromText="180" w:vertAnchor="text" w:horzAnchor="page" w:tblpX="1441" w:tblpY="363"/>
        <w:tblOverlap w:val="never"/>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758"/>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5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序号</w:t>
            </w:r>
          </w:p>
        </w:tc>
        <w:tc>
          <w:tcPr>
            <w:tcW w:w="1758" w:type="dxa"/>
            <w:noWrap w:val="0"/>
            <w:vAlign w:val="center"/>
          </w:tcPr>
          <w:p>
            <w:pPr>
              <w:ind w:firstLine="240" w:firstLineChars="1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     目</w:t>
            </w:r>
          </w:p>
        </w:tc>
        <w:tc>
          <w:tcPr>
            <w:tcW w:w="6790"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说 明 和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招标内容</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小间距P1.5显示屏。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工程地址</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定州。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质量要求</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合格，质保期2年。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供货时间</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中标签订合同后3-5日内，根据项目进度要求进行供货。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招标范围</w:t>
            </w:r>
          </w:p>
        </w:tc>
        <w:tc>
          <w:tcPr>
            <w:tcW w:w="6790" w:type="dxa"/>
            <w:noWrap w:val="0"/>
            <w:vAlign w:val="center"/>
          </w:tcPr>
          <w:p>
            <w:pPr>
              <w:keepNext w:val="0"/>
              <w:keepLines w:val="0"/>
              <w:pageBreakBefore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小间距P1.5显示屏。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计价方式</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投标人资质</w:t>
            </w:r>
          </w:p>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等级要求</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投标人具有独立法人资格，具有一般纳税人资格，能够提供13%税率增值税专用发票；持有工商管理部门核发的营业执照；投标人具有良好的商业信誉。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w:t>
            </w:r>
          </w:p>
        </w:tc>
        <w:tc>
          <w:tcPr>
            <w:tcW w:w="6790" w:type="dxa"/>
            <w:noWrap w:val="0"/>
            <w:vAlign w:val="center"/>
          </w:tcPr>
          <w:p>
            <w:pPr>
              <w:rPr>
                <w:rFonts w:hint="eastAsia"/>
                <w:lang w:val="en-US" w:eastAsia="zh-CN"/>
              </w:rPr>
            </w:pPr>
          </w:p>
          <w:p>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0元（招标截至日前付款）。</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报价方式</w:t>
            </w:r>
          </w:p>
        </w:tc>
        <w:tc>
          <w:tcPr>
            <w:tcW w:w="6790" w:type="dxa"/>
            <w:noWrap w:val="0"/>
            <w:vAlign w:val="center"/>
          </w:tcPr>
          <w:p>
            <w:pPr>
              <w:pStyle w:val="14"/>
              <w:keepNext w:val="0"/>
              <w:keepLines w:val="0"/>
              <w:pageBreakBefore w:val="0"/>
              <w:widowControl/>
              <w:numPr>
                <w:ilvl w:val="0"/>
                <w:numId w:val="0"/>
              </w:numPr>
              <w:kinsoku/>
              <w:wordWrap/>
              <w:overflowPunct/>
              <w:topLinePunct w:val="0"/>
              <w:autoSpaceDE/>
              <w:autoSpaceDN/>
              <w:bidi w:val="0"/>
              <w:adjustRightInd/>
              <w:snapToGrid/>
              <w:spacing w:line="540" w:lineRule="atLeas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1.开标前将报价清单</w:t>
            </w:r>
            <w:r>
              <w:rPr>
                <w:rFonts w:hint="eastAsia" w:ascii="宋体" w:hAnsi="宋体" w:cs="宋体"/>
                <w:color w:val="auto"/>
                <w:kern w:val="0"/>
                <w:sz w:val="24"/>
                <w:szCs w:val="24"/>
                <w:highlight w:val="none"/>
                <w:lang w:val="en-US" w:eastAsia="zh-CN" w:bidi="ar-SA"/>
              </w:rPr>
              <w:t>(7页-14</w:t>
            </w:r>
            <w:bookmarkStart w:id="8" w:name="_GoBack"/>
            <w:bookmarkEnd w:id="8"/>
            <w:r>
              <w:rPr>
                <w:rFonts w:hint="eastAsia" w:ascii="宋体" w:hAnsi="宋体" w:cs="宋体"/>
                <w:color w:val="auto"/>
                <w:kern w:val="0"/>
                <w:sz w:val="24"/>
                <w:szCs w:val="24"/>
                <w:highlight w:val="none"/>
                <w:lang w:val="en-US" w:eastAsia="zh-CN" w:bidi="ar-SA"/>
              </w:rPr>
              <w:t>页)按第一轮报价</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"mailto:议标时携带纸质版分项报价清单并加盖公章并发送至公司邮箱jgznkj2023@163.com"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加盖单位公章发送至公司邮箱</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jgznkj2023@163.com。</w:t>
            </w:r>
            <w:r>
              <w:rPr>
                <w:rFonts w:hint="eastAsia" w:ascii="宋体" w:hAnsi="宋体" w:cs="宋体"/>
                <w:color w:val="auto"/>
                <w:kern w:val="0"/>
                <w:sz w:val="24"/>
                <w:szCs w:val="24"/>
                <w:highlight w:val="none"/>
                <w:lang w:val="en-US" w:eastAsia="zh-CN" w:bidi="ar-SA"/>
              </w:rPr>
              <w:t>（邮件格式：项目名称+单位名称+联系人姓名+联系电话）。</w:t>
            </w:r>
          </w:p>
          <w:p>
            <w:pPr>
              <w:jc w:val="left"/>
              <w:rPr>
                <w:rFonts w:hint="eastAsia" w:ascii="宋体" w:hAnsi="宋体" w:eastAsia="宋体" w:cs="宋体"/>
                <w:color w:val="auto"/>
                <w:kern w:val="0"/>
                <w:sz w:val="24"/>
                <w:szCs w:val="24"/>
                <w:highlight w:val="none"/>
                <w:lang w:val="en-US" w:eastAsia="zh-CN" w:bidi="ar-SA"/>
              </w:rPr>
            </w:pPr>
          </w:p>
          <w:p>
            <w:pPr>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2.网站报价只填报各区域总价。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招标方式</w:t>
            </w:r>
          </w:p>
        </w:tc>
        <w:tc>
          <w:tcPr>
            <w:tcW w:w="6790" w:type="dxa"/>
            <w:noWrap w:val="0"/>
            <w:vAlign w:val="center"/>
          </w:tcPr>
          <w:p>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公开招标，网上竞价，先招后议。投标人在网标平台进行注册，开通投标登陆账号，并由中采网进行指导。本次投标在中采网招标平台上进行。平台网址为：</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"http://webbiao.com"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http://webbiao.com</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。网上开标结束后，招标人组织入围的投标人进行谈判，最终确定中标人。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谈判时间</w:t>
            </w:r>
          </w:p>
        </w:tc>
        <w:tc>
          <w:tcPr>
            <w:tcW w:w="6790" w:type="dxa"/>
            <w:noWrap w:val="0"/>
            <w:vAlign w:val="center"/>
          </w:tcPr>
          <w:p>
            <w:pPr>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2023年12月1日下午14:00.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开标程序</w:t>
            </w:r>
          </w:p>
        </w:tc>
        <w:tc>
          <w:tcPr>
            <w:tcW w:w="6790" w:type="dxa"/>
            <w:noWrap w:val="0"/>
            <w:vAlign w:val="center"/>
          </w:tcPr>
          <w:p>
            <w:pPr>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开标程序分为网上竞价阶段和谈判阶段。投标单位应不少于3家，少于3家时延长报名时间，不少于3家时再开标。</w:t>
            </w:r>
          </w:p>
          <w:p>
            <w:pPr>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1、竞价阶段：</w:t>
            </w:r>
          </w:p>
          <w:p>
            <w:pPr>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在电子商务平台综合评标系统进行投标。采用投标报价高位淘汰方式。</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lang w:bidi="ar"/>
              </w:rPr>
              <w:t>第一阶段：</w:t>
            </w:r>
            <w:r>
              <w:rPr>
                <w:rFonts w:hint="eastAsia" w:ascii="宋体" w:hAnsi="宋体" w:eastAsia="宋体" w:cs="宋体"/>
                <w:color w:val="auto"/>
                <w:kern w:val="0"/>
                <w:sz w:val="24"/>
                <w:szCs w:val="24"/>
                <w:highlight w:val="none"/>
                <w:lang w:val="en-US" w:eastAsia="zh-CN" w:bidi="ar-SA"/>
              </w:rPr>
              <w:t>2023年12月1日</w:t>
            </w:r>
            <w:r>
              <w:rPr>
                <w:rFonts w:hint="eastAsia" w:ascii="宋体" w:hAnsi="宋体" w:eastAsia="宋体" w:cs="宋体"/>
                <w:b/>
                <w:bCs/>
                <w:color w:val="auto"/>
                <w:kern w:val="0"/>
                <w:sz w:val="24"/>
                <w:highlight w:val="none"/>
                <w:lang w:val="en-US" w:eastAsia="zh-CN" w:bidi="ar"/>
              </w:rPr>
              <w:t>09:00</w:t>
            </w:r>
            <w:r>
              <w:rPr>
                <w:rFonts w:hint="eastAsia"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val="en-US" w:eastAsia="zh-CN" w:bidi="ar"/>
              </w:rPr>
              <w:t>09:30</w:t>
            </w:r>
            <w:r>
              <w:rPr>
                <w:rFonts w:hint="eastAsia" w:ascii="宋体" w:hAnsi="宋体" w:eastAsia="宋体" w:cs="宋体"/>
                <w:color w:val="auto"/>
                <w:kern w:val="0"/>
                <w:sz w:val="24"/>
                <w:szCs w:val="24"/>
                <w:highlight w:val="none"/>
                <w:lang w:val="en-US" w:eastAsia="zh-CN" w:bidi="ar-SA"/>
              </w:rPr>
              <w:t>（第一阶段截止，根据价格高低排名，平台自动按照70%*报价家数（小数向上取整）进入到第二阶段）；</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lang w:bidi="ar"/>
              </w:rPr>
              <w:t>第二阶段：</w:t>
            </w:r>
            <w:r>
              <w:rPr>
                <w:rFonts w:hint="eastAsia" w:ascii="宋体" w:hAnsi="宋体" w:eastAsia="宋体" w:cs="宋体"/>
                <w:color w:val="auto"/>
                <w:kern w:val="0"/>
                <w:sz w:val="24"/>
                <w:szCs w:val="24"/>
                <w:highlight w:val="none"/>
                <w:lang w:val="en-US" w:eastAsia="zh-CN" w:bidi="ar-SA"/>
              </w:rPr>
              <w:t>2023年12月1日</w:t>
            </w:r>
            <w:r>
              <w:rPr>
                <w:rFonts w:hint="eastAsia" w:ascii="宋体" w:hAnsi="宋体" w:eastAsia="宋体" w:cs="宋体"/>
                <w:b/>
                <w:bCs/>
                <w:color w:val="auto"/>
                <w:kern w:val="0"/>
                <w:sz w:val="24"/>
                <w:highlight w:val="none"/>
                <w:lang w:val="en-US" w:eastAsia="zh-CN" w:bidi="ar"/>
              </w:rPr>
              <w:t>09:30</w:t>
            </w:r>
            <w:r>
              <w:rPr>
                <w:rFonts w:hint="eastAsia"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val="en-US" w:eastAsia="zh-CN" w:bidi="ar"/>
              </w:rPr>
              <w:t>10:00</w:t>
            </w:r>
            <w:r>
              <w:rPr>
                <w:rFonts w:hint="eastAsia" w:ascii="宋体" w:hAnsi="宋体" w:eastAsia="宋体" w:cs="宋体"/>
                <w:color w:val="auto"/>
                <w:kern w:val="0"/>
                <w:sz w:val="24"/>
                <w:szCs w:val="24"/>
                <w:highlight w:val="none"/>
                <w:lang w:val="en-US" w:eastAsia="zh-CN" w:bidi="ar-SA"/>
              </w:rPr>
              <w:t>（第二阶段截止，平台默认为3家）；</w:t>
            </w:r>
          </w:p>
          <w:p>
            <w:pPr>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2、谈判阶段：</w:t>
            </w:r>
          </w:p>
          <w:p>
            <w:pPr>
              <w:ind w:firstLine="480" w:firstLineChars="20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进入谈判阶段的投标单位需携带加盖公章的营业执照及第二轮分项报价表。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评标办法</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网标入围后公司议标，议标地址：石家庄市桥西区石获南路66号建工大厦A座河北建工智能科技有限公司9层。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确定中标人</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进入谈判阶段后，招标人根据投标单位的报价、商业信誉、资金实力等择优选择中标人，招标人不承诺最低价中标。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中标人材料进场所需报验资料要求</w:t>
            </w:r>
          </w:p>
        </w:tc>
        <w:tc>
          <w:tcPr>
            <w:tcW w:w="6790"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1.包含到场产品的第三方检测报告</w:t>
            </w:r>
          </w:p>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2.合格证</w:t>
            </w:r>
          </w:p>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3.厂家营业执照</w:t>
            </w:r>
          </w:p>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4.公司资质</w:t>
            </w:r>
          </w:p>
          <w:p>
            <w:pPr>
              <w:pStyle w:val="2"/>
              <w:ind w:left="0" w:leftChars="0" w:firstLine="0" w:firstLineChars="0"/>
              <w:rPr>
                <w:rFonts w:hint="default"/>
                <w:lang w:val="en-US" w:eastAsia="zh-CN"/>
              </w:rPr>
            </w:pPr>
            <w:r>
              <w:rPr>
                <w:rFonts w:hint="eastAsia" w:hAnsi="宋体" w:eastAsia="宋体" w:cs="宋体"/>
                <w:color w:val="auto"/>
                <w:kern w:val="0"/>
                <w:sz w:val="24"/>
                <w:szCs w:val="24"/>
                <w:highlight w:val="none"/>
                <w:lang w:val="en-US" w:eastAsia="zh-CN" w:bidi="ar-SA"/>
              </w:rPr>
              <w:t>5.3C认证</w:t>
            </w:r>
          </w:p>
          <w:p>
            <w:pPr>
              <w:jc w:val="both"/>
              <w:rPr>
                <w:rFonts w:hint="default" w:ascii="宋体" w:hAnsi="宋体" w:eastAsia="宋体" w:cs="宋体"/>
                <w:color w:val="FF0000"/>
                <w:kern w:val="0"/>
                <w:sz w:val="24"/>
                <w:szCs w:val="24"/>
                <w:highlight w:val="none"/>
                <w:lang w:val="en-US" w:eastAsia="zh-CN" w:bidi="ar-SA"/>
              </w:rPr>
            </w:pPr>
            <w:r>
              <w:rPr>
                <w:rFonts w:hint="eastAsia" w:ascii="宋体" w:hAnsi="宋体" w:eastAsia="宋体" w:cs="宋体"/>
                <w:color w:val="FF0000"/>
                <w:kern w:val="0"/>
                <w:sz w:val="24"/>
                <w:szCs w:val="24"/>
                <w:highlight w:val="none"/>
                <w:lang w:val="en-US" w:eastAsia="zh-CN" w:bidi="ar-SA"/>
              </w:rPr>
              <w:t>货至现场需同时提供以上所需报验资料</w:t>
            </w:r>
          </w:p>
          <w:p>
            <w:pPr>
              <w:jc w:val="both"/>
              <w:rPr>
                <w:rFonts w:hint="eastAsia" w:ascii="宋体" w:hAnsi="宋体" w:eastAsia="宋体" w:cs="宋体"/>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品牌要求</w:t>
            </w:r>
          </w:p>
        </w:tc>
        <w:tc>
          <w:tcPr>
            <w:tcW w:w="6790" w:type="dxa"/>
            <w:noWrap w:val="0"/>
            <w:vAlign w:val="center"/>
          </w:tcPr>
          <w:p>
            <w:pPr>
              <w:pStyle w:val="2"/>
              <w:ind w:left="0" w:leftChars="0" w:firstLine="0" w:firstLineChars="0"/>
              <w:jc w:val="center"/>
              <w:rPr>
                <w:rFonts w:hint="eastAsia"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LED显示屏</w:t>
            </w:r>
            <w:r>
              <w:rPr>
                <w:rFonts w:hint="eastAsia" w:hAnsi="宋体" w:eastAsia="宋体" w:cs="宋体"/>
                <w:i w:val="0"/>
                <w:iCs w:val="0"/>
                <w:color w:val="FF0000"/>
                <w:kern w:val="0"/>
                <w:sz w:val="24"/>
                <w:szCs w:val="24"/>
                <w:highlight w:val="none"/>
                <w:u w:val="none"/>
                <w:lang w:val="en-US" w:eastAsia="zh-CN" w:bidi="ar"/>
              </w:rPr>
              <w:t>：宇视、艾比森、创维、洲明蓝普、澄通、TCL</w:t>
            </w:r>
          </w:p>
          <w:p>
            <w:pPr>
              <w:pStyle w:val="2"/>
              <w:ind w:left="0" w:leftChars="0" w:firstLine="0" w:firstLineChars="0"/>
              <w:jc w:val="both"/>
              <w:rPr>
                <w:rFonts w:hint="default" w:hAnsi="宋体" w:eastAsia="宋体" w:cs="宋体"/>
                <w:i w:val="0"/>
                <w:iCs w:val="0"/>
                <w:color w:val="FF0000"/>
                <w:kern w:val="0"/>
                <w:sz w:val="24"/>
                <w:szCs w:val="24"/>
                <w:highlight w:val="none"/>
                <w:u w:val="none"/>
                <w:lang w:val="en-US" w:eastAsia="zh-CN" w:bidi="ar"/>
              </w:rPr>
            </w:pPr>
            <w:r>
              <w:rPr>
                <w:rFonts w:hint="eastAsia" w:hAnsi="宋体" w:eastAsia="宋体" w:cs="宋体"/>
                <w:i w:val="0"/>
                <w:iCs w:val="0"/>
                <w:color w:val="FF0000"/>
                <w:kern w:val="0"/>
                <w:sz w:val="24"/>
                <w:szCs w:val="24"/>
                <w:highlight w:val="none"/>
                <w:u w:val="none"/>
                <w:lang w:val="en-US" w:eastAsia="zh-CN" w:bidi="ar"/>
              </w:rPr>
              <w:t>板卡及视频处理器：诺瓦、卡莱特、凯视达</w:t>
            </w:r>
          </w:p>
          <w:p>
            <w:pPr>
              <w:jc w:val="center"/>
              <w:rPr>
                <w:rFonts w:hint="default" w:ascii="宋体" w:hAnsi="宋体" w:eastAsia="宋体" w:cs="宋体"/>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758"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招标人</w:t>
            </w:r>
          </w:p>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联系方法</w:t>
            </w:r>
          </w:p>
        </w:tc>
        <w:tc>
          <w:tcPr>
            <w:tcW w:w="6790"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贾建波</w:t>
            </w:r>
            <w:r>
              <w:rPr>
                <w:rFonts w:hint="default" w:ascii="宋体" w:hAnsi="宋体" w:eastAsia="宋体" w:cs="宋体"/>
                <w:color w:val="auto"/>
                <w:kern w:val="0"/>
                <w:sz w:val="24"/>
                <w:szCs w:val="24"/>
                <w:highlight w:val="none"/>
                <w:lang w:val="en-US" w:eastAsia="zh-CN" w:bidi="ar-SA"/>
              </w:rPr>
              <w:t xml:space="preserve">（技术负责人）        联系电话：18031127705       </w:t>
            </w:r>
          </w:p>
          <w:p>
            <w:pPr>
              <w:jc w:val="both"/>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 xml:space="preserve">曹赛  （现场负责人）     </w:t>
            </w:r>
            <w:r>
              <w:rPr>
                <w:rFonts w:hint="eastAsia" w:ascii="宋体" w:hAnsi="宋体" w:eastAsia="宋体" w:cs="宋体"/>
                <w:color w:val="auto"/>
                <w:kern w:val="0"/>
                <w:sz w:val="24"/>
                <w:szCs w:val="24"/>
                <w:highlight w:val="none"/>
                <w:lang w:val="en-US" w:eastAsia="zh-CN" w:bidi="ar-SA"/>
              </w:rPr>
              <w:t xml:space="preserve"> </w:t>
            </w:r>
            <w:r>
              <w:rPr>
                <w:rFonts w:hint="default" w:ascii="宋体" w:hAnsi="宋体" w:eastAsia="宋体" w:cs="宋体"/>
                <w:color w:val="auto"/>
                <w:kern w:val="0"/>
                <w:sz w:val="24"/>
                <w:szCs w:val="24"/>
                <w:highlight w:val="none"/>
                <w:lang w:val="en-US" w:eastAsia="zh-CN" w:bidi="ar-SA"/>
              </w:rPr>
              <w:t xml:space="preserve">  联系电话：15373953556</w:t>
            </w:r>
          </w:p>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刘长福</w:t>
            </w:r>
            <w:r>
              <w:rPr>
                <w:rFonts w:hint="default" w:ascii="宋体" w:hAnsi="宋体" w:eastAsia="宋体" w:cs="宋体"/>
                <w:color w:val="auto"/>
                <w:kern w:val="0"/>
                <w:sz w:val="24"/>
                <w:szCs w:val="24"/>
                <w:highlight w:val="none"/>
                <w:lang w:val="en-US" w:eastAsia="zh-CN" w:bidi="ar-SA"/>
              </w:rPr>
              <w:t xml:space="preserve"> （注册报价问题） </w:t>
            </w:r>
            <w:r>
              <w:rPr>
                <w:rFonts w:hint="eastAsia" w:ascii="宋体" w:hAnsi="宋体" w:eastAsia="宋体" w:cs="宋体"/>
                <w:color w:val="auto"/>
                <w:kern w:val="0"/>
                <w:sz w:val="24"/>
                <w:szCs w:val="24"/>
                <w:highlight w:val="none"/>
                <w:lang w:val="en-US" w:eastAsia="zh-CN" w:bidi="ar-SA"/>
              </w:rPr>
              <w:t xml:space="preserve">   </w:t>
            </w:r>
            <w:r>
              <w:rPr>
                <w:rFonts w:hint="default" w:ascii="宋体" w:hAnsi="宋体" w:eastAsia="宋体" w:cs="宋体"/>
                <w:color w:val="auto"/>
                <w:kern w:val="0"/>
                <w:sz w:val="24"/>
                <w:szCs w:val="24"/>
                <w:highlight w:val="none"/>
                <w:lang w:val="en-US" w:eastAsia="zh-CN" w:bidi="ar-SA"/>
              </w:rPr>
              <w:t xml:space="preserve"> 联系电话：15632706973</w:t>
            </w:r>
          </w:p>
        </w:tc>
      </w:tr>
    </w:tbl>
    <w:p>
      <w:pPr>
        <w:bidi w:val="0"/>
        <w:rPr>
          <w:rFonts w:hint="eastAsia"/>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p>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r>
        <w:rPr>
          <w:rFonts w:hint="eastAsia" w:ascii="宋体" w:hAnsi="宋体" w:eastAsia="宋体" w:cs="宋体"/>
          <w:b/>
          <w:color w:val="auto"/>
          <w:spacing w:val="40"/>
          <w:sz w:val="40"/>
          <w:szCs w:val="40"/>
          <w:lang w:val="en-US" w:eastAsia="zh-CN"/>
        </w:rPr>
        <w:t>三、招标清单</w:t>
      </w:r>
    </w:p>
    <w:tbl>
      <w:tblPr>
        <w:tblStyle w:val="11"/>
        <w:tblW w:w="51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0"/>
        <w:gridCol w:w="3939"/>
        <w:gridCol w:w="2406"/>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00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小间距P1.5显示屏招标汇总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00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多功能厅（88人）</w:t>
            </w:r>
          </w:p>
        </w:tc>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多功能厅（91人）</w:t>
            </w:r>
          </w:p>
        </w:tc>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2"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多功能厅（172人）</w:t>
            </w:r>
          </w:p>
        </w:tc>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5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报告厅（90人）</w:t>
            </w:r>
          </w:p>
        </w:tc>
        <w:tc>
          <w:tcPr>
            <w:tcW w:w="1377"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2"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5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报告厅（132人）</w:t>
            </w:r>
          </w:p>
        </w:tc>
        <w:tc>
          <w:tcPr>
            <w:tcW w:w="1377"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2"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5"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5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小报告厅（64人）</w:t>
            </w:r>
          </w:p>
        </w:tc>
        <w:tc>
          <w:tcPr>
            <w:tcW w:w="1377"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2"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5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新闻发布厅</w:t>
            </w:r>
          </w:p>
        </w:tc>
        <w:tc>
          <w:tcPr>
            <w:tcW w:w="1377"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2"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5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37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92"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2"/>
        <w:rPr>
          <w:rFonts w:hint="eastAsia" w:ascii="宋体" w:hAnsi="宋体" w:eastAsia="宋体" w:cs="宋体"/>
          <w:b/>
          <w:color w:val="auto"/>
          <w:spacing w:val="40"/>
          <w:sz w:val="40"/>
          <w:szCs w:val="40"/>
          <w:lang w:val="en-US" w:eastAsia="zh-CN"/>
        </w:rPr>
      </w:pPr>
    </w:p>
    <w:p>
      <w:pPr>
        <w:pStyle w:val="2"/>
        <w:rPr>
          <w:rFonts w:hint="eastAsia" w:ascii="宋体" w:hAnsi="宋体" w:eastAsia="宋体" w:cs="宋体"/>
          <w:b/>
          <w:color w:val="auto"/>
          <w:spacing w:val="40"/>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rPr>
          <w:rFonts w:hint="eastAsia" w:hAnsi="宋体" w:eastAsia="宋体" w:cs="宋体"/>
          <w:b/>
          <w:color w:val="auto"/>
          <w:spacing w:val="40"/>
          <w:sz w:val="40"/>
          <w:szCs w:val="40"/>
          <w:lang w:val="en-US" w:eastAsia="zh-CN"/>
        </w:rPr>
      </w:pPr>
      <w:r>
        <w:rPr>
          <w:rFonts w:hint="eastAsia" w:hAnsi="宋体" w:eastAsia="宋体" w:cs="宋体"/>
          <w:b/>
          <w:color w:val="auto"/>
          <w:spacing w:val="40"/>
          <w:sz w:val="40"/>
          <w:szCs w:val="40"/>
          <w:lang w:val="en-US" w:eastAsia="zh-CN"/>
        </w:rPr>
        <w:t>多功能厅（88人）</w:t>
      </w:r>
    </w:p>
    <w:tbl>
      <w:tblPr>
        <w:tblStyle w:val="11"/>
        <w:tblW w:w="14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080"/>
        <w:gridCol w:w="7455"/>
        <w:gridCol w:w="1249"/>
        <w:gridCol w:w="688"/>
        <w:gridCol w:w="472"/>
        <w:gridCol w:w="641"/>
        <w:gridCol w:w="70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405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小间距P1.5显示屏招标清单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基本性能参数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品牌型号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70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c>
          <w:tcPr>
            <w:tcW w:w="127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小间距P1.5     LED显示屏</w:t>
            </w:r>
          </w:p>
        </w:tc>
        <w:tc>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像素密度：422626/m2、模组尺寸：320mm*160mm、模组分辨率208（W）*104（H）、白平衡亮度：≥1000cd/㎡、色温： 1000K—15000K可调、视角：H≥175°V≥175°、亮度均匀性≥99%、对比度≥10000:1、换帧频率：≥60HZ、刷新率：≥3840HZ、亮度调节范围： 0到100无级调节、寿命典型值： 200000小时、防护等级： IP20、工作温度范围： -20 ℃ 至 50 ℃、工作湿度范围：10 %- 80% RH 无凝结、存储温度范围：-20 ℃ 至 60 ℃、最大功耗： 450 W/㎡、平均功耗： 260 W/㎡</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u w:val="none"/>
                <w:lang w:val="en-US" w:eastAsia="zh-CN"/>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 </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4.8*2.72米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单卡支持32组RGB信号并行输出，单卡最大支持256×1024像素点，支持高精度的色度，亮度一体化逐点校正，支持低亮高灰以及色温调节，快速升级和快速发送校正系数。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0"/>
                <w:szCs w:val="20"/>
                <w:u w:val="none"/>
                <w:lang w:val="en-US" w:eastAsia="zh-CN"/>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丰富的数字信号输入接口：包括3路HDMI和1路DVI；最大带载能力720万点；支持分辨率任意设置；支持三画面显示，位置、大小可自由调节；支持视频源任意切换、裁剪、拼接、缩放；支持亮度、色温调节、支持对比度、色调、饱和度调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智能配电箱</w:t>
            </w:r>
          </w:p>
        </w:tc>
        <w:tc>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配电柜分具有手自动两种送电方式，手动方式在配电柜门上通过旋钮开关对每一路箱体进行停送电操作；自动方式在机房内的计算机上通过PLC监控界面实现远程开关操作。</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空开选用品牌：人民电器、宝凯电气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显示屏结构及包边</w:t>
            </w:r>
          </w:p>
        </w:tc>
        <w:tc>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定制国标型材、不锈钢包边。</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安装调试及辅材</w:t>
            </w:r>
          </w:p>
        </w:tc>
        <w:tc>
          <w:tcPr>
            <w:tcW w:w="7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58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jc w:val="center"/>
        <w:rPr>
          <w:rFonts w:hint="default" w:hAnsi="宋体" w:eastAsia="宋体" w:cs="宋体"/>
          <w:b/>
          <w:color w:val="auto"/>
          <w:spacing w:val="40"/>
          <w:sz w:val="40"/>
          <w:szCs w:val="40"/>
          <w:lang w:val="en-US" w:eastAsia="zh-CN"/>
        </w:rPr>
        <w:sectPr>
          <w:pgSz w:w="16838" w:h="11906" w:orient="landscape"/>
          <w:pgMar w:top="850" w:right="1440" w:bottom="1803" w:left="1440" w:header="851" w:footer="992" w:gutter="0"/>
          <w:pgNumType w:fmt="decimal"/>
          <w:cols w:space="0" w:num="1"/>
          <w:rtlGutter w:val="0"/>
          <w:docGrid w:type="lines" w:linePitch="312" w:charSpace="0"/>
        </w:sectPr>
      </w:pPr>
    </w:p>
    <w:tbl>
      <w:tblPr>
        <w:tblStyle w:val="11"/>
        <w:tblpPr w:leftFromText="180" w:rightFromText="180" w:vertAnchor="text" w:horzAnchor="page" w:tblpX="1519" w:tblpY="760"/>
        <w:tblOverlap w:val="never"/>
        <w:tblW w:w="14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1080"/>
        <w:gridCol w:w="7425"/>
        <w:gridCol w:w="1080"/>
        <w:gridCol w:w="690"/>
        <w:gridCol w:w="495"/>
        <w:gridCol w:w="690"/>
        <w:gridCol w:w="79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402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小间距P1.5显示屏招标清单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基本性能参数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79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c>
          <w:tcPr>
            <w:tcW w:w="1275"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小间距P1.5     LED显示屏</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像素密度：422626/m2、模组尺寸：320mm*160mm、模组分辨率208（W）*104（H）、白平衡亮度：≥1000cd/㎡、色温： 1000K—15000K可调、视角：H≥175°V≥175°、亮度均匀性≥99%、对比度≥10000:1、换帧频率：≥60HZ、刷新率：≥3840HZ、亮度调节范围： 0到100无级调节、寿命典型值： 200000小时、防护等级： IP20、工作温度范围： -20 ℃ 至 50 ℃、工作湿度范围：10 %- 80% RH 无凝结、存储温度范围：-20 ℃ 至 60 ℃、最大功耗： 450 W/㎡、平均功耗： 260 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4.8*2.72米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单卡支持32组RGB信号并行输出，单卡最大支持256×1024像素点，支持高精度的色度，亮度一体化逐点校正，支持低亮高灰以及色温调节，快速升级和快速发送校正系数。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丰富的数字信号输入接口：包括3路HDMI和1路DVI；最大带载能力720万点；支持分辨率任意设置；支持三画面显示，位置、大小可自由调节；支持视频源任意切换、裁剪、拼接、缩放；支持亮度、色温调节、支持对比度、色调、饱和度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智能配电箱</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配电柜分具有手自动两种送电方式，手动方式在配电柜门上通过旋钮开关对每一路箱体进行停送电操作；自动方式在机房内的计算机上通过PLC监控界面实现远程开关操作。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空开选用品牌：人民电器、宝凯电气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显示屏结构及包边</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定制国标型材、不锈钢包边。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安装调试及辅材</w:t>
            </w:r>
          </w:p>
        </w:tc>
        <w:tc>
          <w:tcPr>
            <w:tcW w:w="7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jc w:val="center"/>
        <w:rPr>
          <w:rFonts w:hint="eastAsia" w:hAnsi="宋体" w:eastAsia="宋体" w:cs="宋体"/>
          <w:b/>
          <w:color w:val="auto"/>
          <w:spacing w:val="40"/>
          <w:sz w:val="40"/>
          <w:szCs w:val="40"/>
          <w:lang w:val="en-US" w:eastAsia="zh-CN"/>
        </w:rPr>
      </w:pPr>
      <w:r>
        <w:rPr>
          <w:rFonts w:hint="eastAsia" w:hAnsi="宋体" w:eastAsia="宋体" w:cs="宋体"/>
          <w:b/>
          <w:color w:val="auto"/>
          <w:spacing w:val="40"/>
          <w:sz w:val="40"/>
          <w:szCs w:val="40"/>
          <w:lang w:val="en-US" w:eastAsia="zh-CN"/>
        </w:rPr>
        <w:t>多功能厅（91人）</w:t>
      </w:r>
    </w:p>
    <w:p>
      <w:pPr>
        <w:pStyle w:val="2"/>
        <w:jc w:val="center"/>
        <w:rPr>
          <w:rFonts w:hint="eastAsia" w:hAnsi="宋体" w:eastAsia="宋体" w:cs="宋体"/>
          <w:b/>
          <w:color w:val="auto"/>
          <w:spacing w:val="40"/>
          <w:sz w:val="40"/>
          <w:szCs w:val="40"/>
          <w:lang w:val="en-US" w:eastAsia="zh-CN"/>
        </w:rPr>
      </w:pPr>
      <w:r>
        <w:rPr>
          <w:rFonts w:hint="eastAsia" w:hAnsi="宋体" w:eastAsia="宋体" w:cs="宋体"/>
          <w:b/>
          <w:color w:val="auto"/>
          <w:spacing w:val="40"/>
          <w:sz w:val="40"/>
          <w:szCs w:val="40"/>
          <w:lang w:val="en-US" w:eastAsia="zh-CN"/>
        </w:rPr>
        <w:t>多功能厅（172人）</w:t>
      </w:r>
    </w:p>
    <w:tbl>
      <w:tblPr>
        <w:tblStyle w:val="11"/>
        <w:tblW w:w="13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1080"/>
        <w:gridCol w:w="7500"/>
        <w:gridCol w:w="1080"/>
        <w:gridCol w:w="690"/>
        <w:gridCol w:w="495"/>
        <w:gridCol w:w="585"/>
        <w:gridCol w:w="79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384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小间距P1.5显示屏招标清单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基本性能参数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79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小间距P1.5     LED显示屏</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像素密度：422626/m2、模组尺寸：320mm*160mm、模组分辨率208（W）*104（H）、白平衡亮度：≥1000cd/㎡、色温： 1000K—15000K可调、视角：H≥175°V≥175°、亮度均匀性≥99%、对比度≥10000:1、换帧频率：≥60HZ、刷新率：≥3840HZ、亮度调节范围： 0到100无级调节、寿命典型值： 200000小时、防护等级： IP20、工作温度范围： -20 ℃ 至 50 ℃、工作湿度范围：10 %- 80% RH 无凝结、存储温度范围：-20 ℃ 至 60 ℃、最大功耗： 450 W/㎡、平均功耗： 260 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6.4*3.6米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单卡支持32组RGB信号并行输出，单卡最大支持256×1024像素点，支持高精度的色度，亮度一体化逐点校正，支持低亮高灰以及色温调节，快速升级和快速发送校正系数。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丰富的数字信号输入接口：包括1路HDMI2.0、2路HDMI1.4、1路DP、2路DVI；最大带载能力1040万点；支持分辨率任意设置；支持五画面显示，位置、大小可自由调节；支持视频源任意切换、裁剪、拼接、缩放；支持亮度、色温调节、支持对比度、色调、饱和度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智能配电箱</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配电柜分具有手自动两种送电方式，手动方式在配电柜门上通过旋钮开关对每一路箱体进行停送电操作；自动方式在机房内的计算机上通过PLC监控界面实现远程开关操作。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空开选用品牌：人民电器、宝凯电气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显示屏结构及包边</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定制国标型材、不锈钢包边。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安装调试及辅材</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jc w:val="center"/>
        <w:rPr>
          <w:rFonts w:hint="default" w:hAnsi="宋体" w:eastAsia="宋体" w:cs="宋体"/>
          <w:b/>
          <w:color w:val="auto"/>
          <w:spacing w:val="40"/>
          <w:sz w:val="40"/>
          <w:szCs w:val="40"/>
          <w:lang w:val="en-US" w:eastAsia="zh-CN"/>
        </w:rPr>
      </w:pPr>
      <w:r>
        <w:rPr>
          <w:rFonts w:hint="eastAsia" w:hAnsi="宋体" w:eastAsia="宋体" w:cs="宋体"/>
          <w:b/>
          <w:color w:val="auto"/>
          <w:spacing w:val="40"/>
          <w:sz w:val="40"/>
          <w:szCs w:val="40"/>
          <w:lang w:val="en-US" w:eastAsia="zh-CN"/>
        </w:rPr>
        <w:t>报告厅（90人）</w:t>
      </w:r>
    </w:p>
    <w:tbl>
      <w:tblPr>
        <w:tblStyle w:val="11"/>
        <w:tblpPr w:leftFromText="180" w:rightFromText="180" w:vertAnchor="text" w:horzAnchor="page" w:tblpX="1546" w:tblpY="173"/>
        <w:tblOverlap w:val="never"/>
        <w:tblW w:w="13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1080"/>
        <w:gridCol w:w="7470"/>
        <w:gridCol w:w="1080"/>
        <w:gridCol w:w="585"/>
        <w:gridCol w:w="495"/>
        <w:gridCol w:w="690"/>
        <w:gridCol w:w="79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1377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小间距P1.5显示屏招标清单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7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基本性能参数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品牌型号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79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c>
          <w:tcPr>
            <w:tcW w:w="1080"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小间距P1.5     LED显示屏</w:t>
            </w:r>
          </w:p>
        </w:tc>
        <w:tc>
          <w:tcPr>
            <w:tcW w:w="7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像素密度：422626/m2、模组尺寸：320mm*160mm、模组分辨率208（W）*104（H）、白平衡亮度：≥1000cd/㎡、色温： 1000K—15000K可调、视角：H≥175°V≥175°、亮度均匀性≥99%、对比度≥10000:1、换帧频率：≥60HZ、刷新率：≥3840HZ、亮度调节范围： 0到100无级调节、寿命典型值： 200000小时、防护等级： IP20、工作温度范围： -20 ℃ 至 50 ℃、工作湿度范围：10 %- 80% RH 无凝结、存储温度范围：-20 ℃ 至 60 ℃、最大功耗： 450 W/㎡、平均功耗： 260 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3.2*1.8米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7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单卡支持32组RGB信号并行输出，单卡最大支持256×1024像素点，支持高精度的色度，亮度一体化逐点校正，支持低亮高灰以及色温调节，快速升级和快速发送校正系数。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7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支持DVI、HDMI高清信号输入，最大可接收1920*1200像素的高清数字信号；同时4个千兆网口输出，单卡可支持最宽4096像素、或最高2560像素的大屏。X4采用高速USB与PC通讯，并可用于多台发送器级联。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智能配电箱</w:t>
            </w:r>
          </w:p>
        </w:tc>
        <w:tc>
          <w:tcPr>
            <w:tcW w:w="7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配电柜分具有手自动两种送电方式，手动方式在配电柜门上通过旋钮开关对每一路箱体进行停送电操作；自动方式在机房内的计算机上通过PLC监控界面实现远程开关操作。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空开选用品牌：人民电器、宝凯电气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显示屏结构及包边</w:t>
            </w:r>
          </w:p>
        </w:tc>
        <w:tc>
          <w:tcPr>
            <w:tcW w:w="7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定制国标型材、不锈钢包边。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安装调试及辅材</w:t>
            </w:r>
          </w:p>
        </w:tc>
        <w:tc>
          <w:tcPr>
            <w:tcW w:w="7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tbl>
      <w:tblPr>
        <w:tblStyle w:val="11"/>
        <w:tblpPr w:leftFromText="180" w:rightFromText="180" w:vertAnchor="text" w:horzAnchor="page" w:tblpX="1682" w:tblpY="769"/>
        <w:tblOverlap w:val="never"/>
        <w:tblW w:w="13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1080"/>
        <w:gridCol w:w="7560"/>
        <w:gridCol w:w="1080"/>
        <w:gridCol w:w="690"/>
        <w:gridCol w:w="495"/>
        <w:gridCol w:w="585"/>
        <w:gridCol w:w="79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1389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小间距P1.5显示屏招标清单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基本性能参数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79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c>
          <w:tcPr>
            <w:tcW w:w="1110"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小间距P1.5     LED显示屏</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像素密度：422626/m2、模组尺寸：320mm*160mm、模组分辨率208（W）*104（H）、白平衡亮度：≥1000cd/㎡、色温： 1000K—15000K可调、视角：H≥175°V≥175°、亮度均匀性≥99%、对比度≥10000:1、换帧频率：≥60HZ、刷新率：≥3840HZ、亮度调节范围： 0到100无级调节、寿命典型值： 200000小时、防护等级： IP20、工作温度范围： -20 ℃ 至 50 ℃、工作湿度范围：10 %- 80% RH 无凝结、存储温度范围：-20 ℃ 至 60 ℃、最大功耗： 450 W/㎡、平均功耗： 260 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4.8*2.72米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单卡支持32组RGB信号并行输出，单卡最大支持256×1024像素点，支持高精度的色度，亮度一体化逐点校正，支持低亮高灰以及色温调节，快速升级和快速发送校正系数。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丰富的数字信号输入接口：包括3路HDMI和1路DVI；最大带载能力720万点；支持分辨率任意设置；支持三画面显示，位置、大小可自由调节；支持视频源任意切换、裁剪、拼接、缩放；支持亮度、色温调节、支持对比度、色调、饱和度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智能配电箱</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配电柜分具有手自动两种送电方式，手动方式在配电柜门上通过旋钮开关对每一路箱体进行停送电操作；自动方式在机房内的计算机上通过PLC监控界面实现远程开关操作。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空开选用品牌：人民电器、宝凯电气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显示屏结构及包边</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定制国标型材、不锈钢包边。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安装调试及辅材</w:t>
            </w:r>
          </w:p>
        </w:tc>
        <w:tc>
          <w:tcPr>
            <w:tcW w:w="7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jc w:val="center"/>
        <w:rPr>
          <w:rFonts w:hint="eastAsia" w:hAnsi="宋体" w:eastAsia="宋体" w:cs="宋体"/>
          <w:b/>
          <w:color w:val="auto"/>
          <w:spacing w:val="40"/>
          <w:sz w:val="40"/>
          <w:szCs w:val="40"/>
          <w:lang w:val="en-US" w:eastAsia="zh-CN"/>
        </w:rPr>
      </w:pPr>
      <w:r>
        <w:rPr>
          <w:rFonts w:hint="eastAsia" w:hAnsi="宋体" w:eastAsia="宋体" w:cs="宋体"/>
          <w:b/>
          <w:color w:val="auto"/>
          <w:spacing w:val="40"/>
          <w:sz w:val="40"/>
          <w:szCs w:val="40"/>
          <w:lang w:val="en-US" w:eastAsia="zh-CN"/>
        </w:rPr>
        <w:t>报告厅（132人）</w:t>
      </w:r>
    </w:p>
    <w:p>
      <w:pPr>
        <w:pStyle w:val="2"/>
        <w:jc w:val="center"/>
        <w:rPr>
          <w:rFonts w:hint="eastAsia" w:hAnsi="宋体" w:eastAsia="宋体" w:cs="宋体"/>
          <w:b/>
          <w:color w:val="auto"/>
          <w:spacing w:val="40"/>
          <w:sz w:val="40"/>
          <w:szCs w:val="40"/>
          <w:lang w:val="en-US" w:eastAsia="zh-CN"/>
        </w:rPr>
      </w:pPr>
      <w:r>
        <w:rPr>
          <w:rFonts w:hint="eastAsia" w:hAnsi="宋体" w:eastAsia="宋体" w:cs="宋体"/>
          <w:b/>
          <w:color w:val="auto"/>
          <w:spacing w:val="40"/>
          <w:sz w:val="40"/>
          <w:szCs w:val="40"/>
          <w:lang w:val="en-US" w:eastAsia="zh-CN"/>
        </w:rPr>
        <w:t>小报告厅（64人）</w:t>
      </w:r>
    </w:p>
    <w:tbl>
      <w:tblPr>
        <w:tblStyle w:val="11"/>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1080"/>
        <w:gridCol w:w="7575"/>
        <w:gridCol w:w="1080"/>
        <w:gridCol w:w="585"/>
        <w:gridCol w:w="495"/>
        <w:gridCol w:w="585"/>
        <w:gridCol w:w="69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66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小间距P1.5显示屏招标清单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基本性能参数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品牌型号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69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c>
          <w:tcPr>
            <w:tcW w:w="0" w:type="auto"/>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小间距P1.5     LED显示屏</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像素密度：422626/m2、模组尺寸：320mm*160mm、模组分辨率208（W）*104（H）、白平衡亮度：≥1000cd/㎡、色温： 1000K—15000K可调、视角：H≥175°V≥175°、亮度均匀性≥99%、对比度≥10000:1、换帧频率：≥60HZ、刷新率：≥3840HZ、亮度调节范围： 0到100无级调节、寿命典型值： 200000小时、防护等级： IP20、工作温度范围： -20 ℃ 至 50 ℃、工作湿度范围：10 %- 80% RH 无凝结、存储温度范围：-20 ℃ 至 60 ℃、最大功耗： 450 W/㎡、平均功耗： 260 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3.2*1.8米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单卡支持32组RGB信号并行输出，单卡最大支持256×1024像素点，支持高精度的色度，亮度一体化逐点校正，支持低亮高灰以及色温调节，快速升级和快速发送校正系数。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支持DVI、HDMI高清信号输入，最大可接收1920*1200像素的高清数字信号；同时4个千兆网口输出，单卡可支持最宽4096像素、或最高2560像素的大屏。X4采用高速USB与PC通讯，并可用于多台发送器级联。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智能配电箱</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配电柜分具有手自动两种送电方式，手动方式在配电柜门上通过旋钮开关对每一路箱体进行停送电操作；自动方式在机房内的计算机上通过PLC监控界面实现远程开关操作。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空开选用品牌：人民电器、宝凯电气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显示屏结构及包边</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定制国标型材、不锈钢包边。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安装调试及辅材</w:t>
            </w:r>
          </w:p>
        </w:tc>
        <w:tc>
          <w:tcPr>
            <w:tcW w:w="7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ind w:left="0" w:leftChars="0" w:firstLine="0" w:firstLineChars="0"/>
        <w:jc w:val="both"/>
        <w:rPr>
          <w:rFonts w:hint="eastAsia" w:hAnsi="宋体" w:eastAsia="宋体" w:cs="宋体"/>
          <w:b/>
          <w:color w:val="auto"/>
          <w:spacing w:val="40"/>
          <w:sz w:val="40"/>
          <w:szCs w:val="40"/>
          <w:lang w:val="en-US" w:eastAsia="zh-CN"/>
        </w:rPr>
      </w:pPr>
    </w:p>
    <w:p>
      <w:pPr>
        <w:pStyle w:val="2"/>
        <w:jc w:val="center"/>
        <w:rPr>
          <w:rFonts w:hint="eastAsia" w:hAnsi="宋体" w:eastAsia="宋体" w:cs="宋体"/>
          <w:b/>
          <w:color w:val="auto"/>
          <w:spacing w:val="40"/>
          <w:sz w:val="40"/>
          <w:szCs w:val="40"/>
          <w:lang w:val="en-US" w:eastAsia="zh-CN"/>
        </w:rPr>
      </w:pPr>
      <w:r>
        <w:rPr>
          <w:rFonts w:hint="eastAsia" w:hAnsi="宋体" w:eastAsia="宋体" w:cs="宋体"/>
          <w:b/>
          <w:color w:val="auto"/>
          <w:spacing w:val="40"/>
          <w:sz w:val="40"/>
          <w:szCs w:val="40"/>
          <w:lang w:val="en-US" w:eastAsia="zh-CN"/>
        </w:rPr>
        <w:t>新闻发布厅</w:t>
      </w:r>
    </w:p>
    <w:tbl>
      <w:tblPr>
        <w:tblStyle w:val="11"/>
        <w:tblW w:w="140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1080"/>
        <w:gridCol w:w="7545"/>
        <w:gridCol w:w="1080"/>
        <w:gridCol w:w="690"/>
        <w:gridCol w:w="495"/>
        <w:gridCol w:w="585"/>
        <w:gridCol w:w="795"/>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405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小间距P1.5显示屏招标清单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7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基本性能参数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795"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c>
          <w:tcPr>
            <w:tcW w:w="1288"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小间距P1.5     LED显示屏</w:t>
            </w:r>
          </w:p>
        </w:tc>
        <w:tc>
          <w:tcPr>
            <w:tcW w:w="7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像素密度：422626/m2、模组尺寸：320mm*160mm、模组分辨率208（W）*104（H）、白平衡亮度：≥1000cd/㎡、色温： 1000K—15000K可调、视角：H≥175°V≥175°、亮度均匀性≥99%、对比度≥10000:1、换帧频率：≥60HZ、刷新率：≥3840HZ、亮度调节范围： 0到100无级调节、寿命典型值： 200000小时、防护等级： IP20、工作温度范围： -20 ℃ 至 50 ℃、工作湿度范围：10 %- 80% RH 无凝结、存储温度范围：-20 ℃ 至 60 ℃、最大功耗： 450 W/㎡、平均功耗： 260 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7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单卡支持32组RGB信号并行输出，单卡最大支持256×1024像素点，支持高精度的色度，亮度一体化逐点校正，支持低亮高灰以及色温调节，快速升级和快速发送校正系数。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7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丰富的数字信号输入接口：包括3路HDMI和1路DVI；最大带载能力720万点；支持分辨率任意设置；支持三画面显示，位置、大小可自由调节；支持视频源任意切换、裁剪、拼接、缩放；支持亮度、色温调节、支持对比度、色调、饱和度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智能配电箱</w:t>
            </w:r>
          </w:p>
        </w:tc>
        <w:tc>
          <w:tcPr>
            <w:tcW w:w="7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配电柜分具有手自动两种送电方式，手动方式在配电柜门上通过旋钮开关对每一路箱体进行停送电操作；自动方式在机房内的计算机上通过PLC监控界面实现远程开关操作。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空开选用品牌：人民电器、宝凯电气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显示屏结构及包边</w:t>
            </w:r>
          </w:p>
        </w:tc>
        <w:tc>
          <w:tcPr>
            <w:tcW w:w="7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定制国标型材、不锈钢包边。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安装调试及辅材</w:t>
            </w:r>
          </w:p>
        </w:tc>
        <w:tc>
          <w:tcPr>
            <w:tcW w:w="7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ind w:left="0" w:leftChars="0" w:firstLine="0" w:firstLineChars="0"/>
        <w:rPr>
          <w:rFonts w:hint="default"/>
          <w:lang w:val="en-US" w:eastAsia="zh-CN"/>
        </w:rPr>
      </w:pPr>
    </w:p>
    <w:sectPr>
      <w:pgSz w:w="16838" w:h="11906" w:orient="landscape"/>
      <w:pgMar w:top="85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2400935</wp:posOffset>
              </wp:positionH>
              <wp:positionV relativeFrom="paragraph">
                <wp:posOffset>-65405</wp:posOffset>
              </wp:positionV>
              <wp:extent cx="513080" cy="197485"/>
              <wp:effectExtent l="0" t="0" r="0" b="0"/>
              <wp:wrapNone/>
              <wp:docPr id="2" name="文本框 2"/>
              <wp:cNvGraphicFramePr/>
              <a:graphic xmlns:a="http://schemas.openxmlformats.org/drawingml/2006/main">
                <a:graphicData uri="http://schemas.microsoft.com/office/word/2010/wordprocessingShape">
                  <wps:wsp>
                    <wps:cNvSpPr txBox="1"/>
                    <wps:spPr>
                      <a:xfrm flipV="1">
                        <a:off x="0" y="0"/>
                        <a:ext cx="513080" cy="197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189.05pt;margin-top:-5.15pt;height:15.55pt;width:40.4pt;mso-position-horizontal-relative:margin;z-index:251661312;mso-width-relative:page;mso-height-relative:page;" filled="f" stroked="f" coordsize="21600,21600" o:gfxdata="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HLOY9oAAAAKAQAADwAAAAAAAAABACAAAAAiAAAA&#10;ZHJzL2Rvd25yZXYueG1sUEsBAhQAFAAAAAgAh07iQMfylKI+AgAAawQAAA4AAAAAAAAAAQAgAAAA&#10;KQEAAGRycy9lMm9Eb2MueG1sUEsFBgAAAAAGAAYAWQEAANkFAAAAAA==&#10;">
              <v:fill on="f" focussize="0,0"/>
              <v:stroke on="f" weight="0.5pt"/>
              <v:imagedata o:title=""/>
              <o:lock v:ext="edit" aspectratio="f"/>
              <v:textbox inset="0mm,0mm,0mm,0mm">
                <w:txbxContent>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2019935</wp:posOffset>
              </wp:positionH>
              <wp:positionV relativeFrom="paragraph">
                <wp:posOffset>0</wp:posOffset>
              </wp:positionV>
              <wp:extent cx="648970" cy="596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8970" cy="596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9.05pt;margin-top:0pt;height:47pt;width:51.1pt;mso-position-horizontal-relative:margin;z-index:251660288;mso-width-relative:page;mso-height-relative:page;" filled="f" stroked="f" coordsize="21600,21600" o:gfxdata="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K2mltYAAAAHAQAADwAAAAAAAAABACAAAAAiAAAAZHJzL2Rvd25yZXYu&#10;eG1sUEsBAhQAFAAAAAgAh07iQPt1jZM2AgAAYQQAAA4AAAAAAAAAAQAgAAAAJQEAAGRycy9lMm9E&#10;b2MueG1sUEsFBgAAAAAGAAYAWQEAAM0FAAAAAA==&#10;">
              <v:fill on="f" focussize="0,0"/>
              <v:stroke on="f" weight="0.5pt"/>
              <v:imagedata o:title=""/>
              <o:lock v:ext="edit" aspectratio="f"/>
              <v:textbox inset="0mm,0mm,0mm,0mm">
                <w:txbxContent>
                  <w:p>
                    <w:pPr>
                      <w:pStyle w:val="7"/>
                      <w:rPr>
                        <w:rFonts w:hint="eastAsia" w:eastAsiaTheme="minorEastAsia"/>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FEB29"/>
    <w:multiLevelType w:val="singleLevel"/>
    <w:tmpl w:val="B8DFEB29"/>
    <w:lvl w:ilvl="0" w:tentative="0">
      <w:start w:val="1"/>
      <w:numFmt w:val="chineseCounting"/>
      <w:suff w:val="nothing"/>
      <w:lvlText w:val="%1、"/>
      <w:lvlJc w:val="left"/>
      <w:pPr>
        <w:ind w:left="-398"/>
      </w:pPr>
      <w:rPr>
        <w:rFonts w:hint="eastAsia"/>
      </w:rPr>
    </w:lvl>
  </w:abstractNum>
  <w:abstractNum w:abstractNumId="1">
    <w:nsid w:val="00000002"/>
    <w:multiLevelType w:val="multilevel"/>
    <w:tmpl w:val="00000002"/>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B0661A4"/>
    <w:multiLevelType w:val="singleLevel"/>
    <w:tmpl w:val="0B0661A4"/>
    <w:lvl w:ilvl="0" w:tentative="0">
      <w:start w:val="1"/>
      <w:numFmt w:val="decimal"/>
      <w:suff w:val="nothing"/>
      <w:lvlText w:val="%1、"/>
      <w:lvlJc w:val="left"/>
    </w:lvl>
  </w:abstractNum>
  <w:abstractNum w:abstractNumId="3">
    <w:nsid w:val="6F4742A4"/>
    <w:multiLevelType w:val="multilevel"/>
    <w:tmpl w:val="6F4742A4"/>
    <w:lvl w:ilvl="0" w:tentative="0">
      <w:start w:val="1"/>
      <w:numFmt w:val="decimal"/>
      <w:lvlText w:val="%1."/>
      <w:lvlJc w:val="left"/>
      <w:pPr>
        <w:tabs>
          <w:tab w:val="left" w:pos="540"/>
        </w:tabs>
        <w:ind w:left="360" w:hanging="360"/>
      </w:pPr>
      <w:rPr>
        <w:rFonts w:hint="default"/>
        <w:sz w:val="21"/>
        <w:szCs w:val="21"/>
      </w:rPr>
    </w:lvl>
    <w:lvl w:ilvl="1" w:tentative="0">
      <w:start w:val="1"/>
      <w:numFmt w:val="lowerLetter"/>
      <w:lvlText w:val="%2)"/>
      <w:lvlJc w:val="left"/>
      <w:pPr>
        <w:tabs>
          <w:tab w:val="left" w:pos="600"/>
        </w:tabs>
        <w:ind w:left="420" w:hanging="420"/>
      </w:pPr>
    </w:lvl>
    <w:lvl w:ilvl="2" w:tentative="0">
      <w:start w:val="1"/>
      <w:numFmt w:val="lowerRoman"/>
      <w:lvlText w:val="%3."/>
      <w:lvlJc w:val="right"/>
      <w:pPr>
        <w:tabs>
          <w:tab w:val="left" w:pos="1020"/>
        </w:tabs>
        <w:ind w:left="840" w:hanging="420"/>
      </w:pPr>
    </w:lvl>
    <w:lvl w:ilvl="3" w:tentative="0">
      <w:start w:val="1"/>
      <w:numFmt w:val="decimal"/>
      <w:lvlText w:val="%4."/>
      <w:lvlJc w:val="left"/>
      <w:pPr>
        <w:tabs>
          <w:tab w:val="left" w:pos="1440"/>
        </w:tabs>
        <w:ind w:left="1260" w:hanging="420"/>
      </w:pPr>
    </w:lvl>
    <w:lvl w:ilvl="4" w:tentative="0">
      <w:start w:val="1"/>
      <w:numFmt w:val="lowerLetter"/>
      <w:lvlText w:val="%5)"/>
      <w:lvlJc w:val="left"/>
      <w:pPr>
        <w:tabs>
          <w:tab w:val="left" w:pos="1860"/>
        </w:tabs>
        <w:ind w:left="1680" w:hanging="420"/>
      </w:pPr>
    </w:lvl>
    <w:lvl w:ilvl="5" w:tentative="0">
      <w:start w:val="1"/>
      <w:numFmt w:val="lowerRoman"/>
      <w:lvlText w:val="%6."/>
      <w:lvlJc w:val="right"/>
      <w:pPr>
        <w:tabs>
          <w:tab w:val="left" w:pos="2280"/>
        </w:tabs>
        <w:ind w:left="2100" w:hanging="420"/>
      </w:pPr>
    </w:lvl>
    <w:lvl w:ilvl="6" w:tentative="0">
      <w:start w:val="1"/>
      <w:numFmt w:val="decimal"/>
      <w:lvlText w:val="%7."/>
      <w:lvlJc w:val="left"/>
      <w:pPr>
        <w:tabs>
          <w:tab w:val="left" w:pos="2700"/>
        </w:tabs>
        <w:ind w:left="2520" w:hanging="420"/>
      </w:pPr>
    </w:lvl>
    <w:lvl w:ilvl="7" w:tentative="0">
      <w:start w:val="1"/>
      <w:numFmt w:val="lowerLetter"/>
      <w:lvlText w:val="%8)"/>
      <w:lvlJc w:val="left"/>
      <w:pPr>
        <w:tabs>
          <w:tab w:val="left" w:pos="3120"/>
        </w:tabs>
        <w:ind w:left="2940" w:hanging="420"/>
      </w:pPr>
    </w:lvl>
    <w:lvl w:ilvl="8" w:tentative="0">
      <w:start w:val="1"/>
      <w:numFmt w:val="lowerRoman"/>
      <w:lvlText w:val="%9."/>
      <w:lvlJc w:val="right"/>
      <w:pPr>
        <w:tabs>
          <w:tab w:val="left" w:pos="3540"/>
        </w:tabs>
        <w:ind w:left="33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OTE1NDUzNTcyZTJmNTU4NjdjOTU3ZTgwZmQwNTAifQ=="/>
  </w:docVars>
  <w:rsids>
    <w:rsidRoot w:val="0CF12AD2"/>
    <w:rsid w:val="001C2592"/>
    <w:rsid w:val="005112AB"/>
    <w:rsid w:val="00716D74"/>
    <w:rsid w:val="007B0A12"/>
    <w:rsid w:val="0089189B"/>
    <w:rsid w:val="008965DD"/>
    <w:rsid w:val="00C41D29"/>
    <w:rsid w:val="00DD18E8"/>
    <w:rsid w:val="0349735F"/>
    <w:rsid w:val="036A59B4"/>
    <w:rsid w:val="03795F07"/>
    <w:rsid w:val="05945B45"/>
    <w:rsid w:val="065B15E4"/>
    <w:rsid w:val="06720547"/>
    <w:rsid w:val="07047ECE"/>
    <w:rsid w:val="07E8781C"/>
    <w:rsid w:val="095E7F01"/>
    <w:rsid w:val="09774987"/>
    <w:rsid w:val="0A530F50"/>
    <w:rsid w:val="0AAD3C9C"/>
    <w:rsid w:val="0AFC1ABC"/>
    <w:rsid w:val="0B27418B"/>
    <w:rsid w:val="0BDE0CED"/>
    <w:rsid w:val="0C012C2E"/>
    <w:rsid w:val="0C59626A"/>
    <w:rsid w:val="0CF12AD2"/>
    <w:rsid w:val="0D5D5C42"/>
    <w:rsid w:val="0E2A4099"/>
    <w:rsid w:val="0E302588"/>
    <w:rsid w:val="0E481CA2"/>
    <w:rsid w:val="0EB74F3E"/>
    <w:rsid w:val="0EC709B9"/>
    <w:rsid w:val="0FF334F9"/>
    <w:rsid w:val="12176D07"/>
    <w:rsid w:val="14A8682C"/>
    <w:rsid w:val="14CF38C9"/>
    <w:rsid w:val="157306F8"/>
    <w:rsid w:val="15D94733"/>
    <w:rsid w:val="172577D0"/>
    <w:rsid w:val="17800B01"/>
    <w:rsid w:val="1897364A"/>
    <w:rsid w:val="19324427"/>
    <w:rsid w:val="193F5F3A"/>
    <w:rsid w:val="196F567B"/>
    <w:rsid w:val="1A217A0B"/>
    <w:rsid w:val="1C876837"/>
    <w:rsid w:val="1DC67833"/>
    <w:rsid w:val="1DE67365"/>
    <w:rsid w:val="1E5D1F26"/>
    <w:rsid w:val="1FF40688"/>
    <w:rsid w:val="20D83B05"/>
    <w:rsid w:val="20F36B91"/>
    <w:rsid w:val="2127683B"/>
    <w:rsid w:val="2194574D"/>
    <w:rsid w:val="221C3EC6"/>
    <w:rsid w:val="225E1EE0"/>
    <w:rsid w:val="22E41A99"/>
    <w:rsid w:val="23D84DCF"/>
    <w:rsid w:val="23FF584D"/>
    <w:rsid w:val="241711B6"/>
    <w:rsid w:val="24883A94"/>
    <w:rsid w:val="257162D7"/>
    <w:rsid w:val="25C22D2B"/>
    <w:rsid w:val="26FB22FC"/>
    <w:rsid w:val="26FB67A0"/>
    <w:rsid w:val="27734588"/>
    <w:rsid w:val="28281DAC"/>
    <w:rsid w:val="28B135BA"/>
    <w:rsid w:val="29AC5B2F"/>
    <w:rsid w:val="29B965A2"/>
    <w:rsid w:val="29BD61FD"/>
    <w:rsid w:val="2A5C1303"/>
    <w:rsid w:val="2AC142D6"/>
    <w:rsid w:val="2AED0047"/>
    <w:rsid w:val="2B8B6B23"/>
    <w:rsid w:val="2B8F74B6"/>
    <w:rsid w:val="2BE76971"/>
    <w:rsid w:val="2C414C55"/>
    <w:rsid w:val="2E093550"/>
    <w:rsid w:val="2F8F3F29"/>
    <w:rsid w:val="30627E05"/>
    <w:rsid w:val="313F372D"/>
    <w:rsid w:val="31BA3C0B"/>
    <w:rsid w:val="31ED601C"/>
    <w:rsid w:val="32087FC3"/>
    <w:rsid w:val="321B7CF6"/>
    <w:rsid w:val="328B4E7C"/>
    <w:rsid w:val="32BE4B75"/>
    <w:rsid w:val="33093FF2"/>
    <w:rsid w:val="352C53CF"/>
    <w:rsid w:val="35C81F43"/>
    <w:rsid w:val="36803DDF"/>
    <w:rsid w:val="36DE12F2"/>
    <w:rsid w:val="370E607B"/>
    <w:rsid w:val="37292839"/>
    <w:rsid w:val="383036B5"/>
    <w:rsid w:val="38D34C9F"/>
    <w:rsid w:val="395D2CB1"/>
    <w:rsid w:val="3AF1503F"/>
    <w:rsid w:val="3B4F1E37"/>
    <w:rsid w:val="3B6B3A9C"/>
    <w:rsid w:val="3BB56AC5"/>
    <w:rsid w:val="3BBC60A6"/>
    <w:rsid w:val="3C0A70F9"/>
    <w:rsid w:val="3C850B8E"/>
    <w:rsid w:val="3CA01523"/>
    <w:rsid w:val="3D122592"/>
    <w:rsid w:val="3E012496"/>
    <w:rsid w:val="41067DC3"/>
    <w:rsid w:val="418A27A2"/>
    <w:rsid w:val="44415A03"/>
    <w:rsid w:val="44D449C8"/>
    <w:rsid w:val="44EF06EE"/>
    <w:rsid w:val="45823A4E"/>
    <w:rsid w:val="45FB424D"/>
    <w:rsid w:val="46A2233C"/>
    <w:rsid w:val="495F0F23"/>
    <w:rsid w:val="4A2D287A"/>
    <w:rsid w:val="4AC07235"/>
    <w:rsid w:val="4BD5286C"/>
    <w:rsid w:val="4CC81C66"/>
    <w:rsid w:val="4CEF795D"/>
    <w:rsid w:val="4CFB27A6"/>
    <w:rsid w:val="4D2515D1"/>
    <w:rsid w:val="4E6600F3"/>
    <w:rsid w:val="4E9702AC"/>
    <w:rsid w:val="4E992277"/>
    <w:rsid w:val="4EB42C0C"/>
    <w:rsid w:val="4ED71B04"/>
    <w:rsid w:val="4FB01626"/>
    <w:rsid w:val="4FCD65BA"/>
    <w:rsid w:val="5140308A"/>
    <w:rsid w:val="514C41F2"/>
    <w:rsid w:val="51AD43C6"/>
    <w:rsid w:val="51C413B8"/>
    <w:rsid w:val="530A54F1"/>
    <w:rsid w:val="54CC5154"/>
    <w:rsid w:val="5801427C"/>
    <w:rsid w:val="5826241E"/>
    <w:rsid w:val="584A6390"/>
    <w:rsid w:val="590B3A7B"/>
    <w:rsid w:val="59213594"/>
    <w:rsid w:val="59C97EB4"/>
    <w:rsid w:val="5B247A8A"/>
    <w:rsid w:val="5B885B4D"/>
    <w:rsid w:val="5C482267"/>
    <w:rsid w:val="5C502AAE"/>
    <w:rsid w:val="5D881E34"/>
    <w:rsid w:val="5F761FFC"/>
    <w:rsid w:val="602E6AF9"/>
    <w:rsid w:val="608F5287"/>
    <w:rsid w:val="625E3163"/>
    <w:rsid w:val="62E25B42"/>
    <w:rsid w:val="637B298A"/>
    <w:rsid w:val="643B19AE"/>
    <w:rsid w:val="648C220A"/>
    <w:rsid w:val="653F53D0"/>
    <w:rsid w:val="661650B5"/>
    <w:rsid w:val="663E7534"/>
    <w:rsid w:val="66CF4630"/>
    <w:rsid w:val="67B0620F"/>
    <w:rsid w:val="67C717AB"/>
    <w:rsid w:val="67E30FAE"/>
    <w:rsid w:val="68077DF9"/>
    <w:rsid w:val="68D471C1"/>
    <w:rsid w:val="69931944"/>
    <w:rsid w:val="6A5A4B58"/>
    <w:rsid w:val="6AB11CBA"/>
    <w:rsid w:val="6ABA0CF1"/>
    <w:rsid w:val="6AC74D83"/>
    <w:rsid w:val="6B120F8F"/>
    <w:rsid w:val="6B142F59"/>
    <w:rsid w:val="6BE566A3"/>
    <w:rsid w:val="6C6770B8"/>
    <w:rsid w:val="6D3C6797"/>
    <w:rsid w:val="6D5E670D"/>
    <w:rsid w:val="6DA700B4"/>
    <w:rsid w:val="6DC47A45"/>
    <w:rsid w:val="6E3B25AB"/>
    <w:rsid w:val="6E7B26F2"/>
    <w:rsid w:val="6EBF4F8A"/>
    <w:rsid w:val="6F314A06"/>
    <w:rsid w:val="6FB12048"/>
    <w:rsid w:val="6FF03FA1"/>
    <w:rsid w:val="701B6B38"/>
    <w:rsid w:val="70934920"/>
    <w:rsid w:val="718F7AEF"/>
    <w:rsid w:val="71A76CB4"/>
    <w:rsid w:val="721E46BD"/>
    <w:rsid w:val="72930CA2"/>
    <w:rsid w:val="72C8308E"/>
    <w:rsid w:val="7376110B"/>
    <w:rsid w:val="73AA0E77"/>
    <w:rsid w:val="74EC2DE4"/>
    <w:rsid w:val="762F6E99"/>
    <w:rsid w:val="76CE0460"/>
    <w:rsid w:val="76DD7175"/>
    <w:rsid w:val="77AD62C7"/>
    <w:rsid w:val="78AF7930"/>
    <w:rsid w:val="7A574C10"/>
    <w:rsid w:val="7AC51B7A"/>
    <w:rsid w:val="7AFB593B"/>
    <w:rsid w:val="7BC662BD"/>
    <w:rsid w:val="7C5E2807"/>
    <w:rsid w:val="7C716328"/>
    <w:rsid w:val="7CDB7E00"/>
    <w:rsid w:val="7D7635FF"/>
    <w:rsid w:val="7DC11107"/>
    <w:rsid w:val="7DD21687"/>
    <w:rsid w:val="7E1C7EBF"/>
    <w:rsid w:val="7E4121CA"/>
    <w:rsid w:val="7E6F077A"/>
    <w:rsid w:val="7EC55C1F"/>
    <w:rsid w:val="7F902409"/>
    <w:rsid w:val="7FAF4BA7"/>
    <w:rsid w:val="7FB1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keepNext/>
      <w:widowControl/>
      <w:numPr>
        <w:ilvl w:val="0"/>
        <w:numId w:val="1"/>
      </w:numPr>
      <w:jc w:val="center"/>
      <w:outlineLvl w:val="0"/>
    </w:pPr>
    <w:rPr>
      <w:rFonts w:ascii="黑体" w:eastAsia="黑体"/>
      <w:kern w:val="0"/>
      <w:sz w:val="5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200" w:firstLine="200" w:firstLineChars="200"/>
    </w:pPr>
  </w:style>
  <w:style w:type="paragraph" w:styleId="3">
    <w:name w:val="Body Text Indent"/>
    <w:basedOn w:val="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5">
    <w:name w:val="Body Text"/>
    <w:basedOn w:val="1"/>
    <w:next w:val="6"/>
    <w:qFormat/>
    <w:uiPriority w:val="99"/>
    <w:pPr>
      <w:spacing w:line="0" w:lineRule="atLeast"/>
    </w:pPr>
    <w:rPr>
      <w:sz w:val="30"/>
    </w:rPr>
  </w:style>
  <w:style w:type="paragraph" w:customStyle="1" w:styleId="6">
    <w:name w:val="_Style 2"/>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Hyperlink"/>
    <w:basedOn w:val="12"/>
    <w:qFormat/>
    <w:uiPriority w:val="0"/>
    <w:rPr>
      <w:color w:val="0000FF"/>
      <w:u w:val="single"/>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character" w:customStyle="1" w:styleId="15">
    <w:name w:val="font61"/>
    <w:basedOn w:val="12"/>
    <w:qFormat/>
    <w:uiPriority w:val="0"/>
    <w:rPr>
      <w:rFonts w:hint="eastAsia" w:ascii="宋体" w:hAnsi="宋体" w:eastAsia="宋体" w:cs="宋体"/>
      <w:color w:val="000000"/>
      <w:sz w:val="20"/>
      <w:szCs w:val="20"/>
      <w:u w:val="none"/>
    </w:rPr>
  </w:style>
  <w:style w:type="character" w:customStyle="1" w:styleId="16">
    <w:name w:val="font11"/>
    <w:basedOn w:val="12"/>
    <w:qFormat/>
    <w:uiPriority w:val="0"/>
    <w:rPr>
      <w:rFonts w:hint="default" w:ascii="Times New Roman" w:hAnsi="Times New Roman" w:cs="Times New Roman"/>
      <w:color w:val="000000"/>
      <w:sz w:val="20"/>
      <w:szCs w:val="20"/>
      <w:u w:val="none"/>
    </w:rPr>
  </w:style>
  <w:style w:type="character" w:customStyle="1" w:styleId="17">
    <w:name w:val="font41"/>
    <w:basedOn w:val="12"/>
    <w:qFormat/>
    <w:uiPriority w:val="0"/>
    <w:rPr>
      <w:rFonts w:hint="default" w:ascii="Times New Roman" w:hAnsi="Times New Roman" w:cs="Times New Roman"/>
      <w:color w:val="000000"/>
      <w:sz w:val="20"/>
      <w:szCs w:val="20"/>
      <w:u w:val="none"/>
    </w:rPr>
  </w:style>
  <w:style w:type="character" w:customStyle="1" w:styleId="18">
    <w:name w:val="font71"/>
    <w:basedOn w:val="12"/>
    <w:qFormat/>
    <w:uiPriority w:val="0"/>
    <w:rPr>
      <w:rFonts w:hint="eastAsia" w:ascii="宋体" w:hAnsi="宋体" w:eastAsia="宋体" w:cs="宋体"/>
      <w:color w:val="000000"/>
      <w:sz w:val="20"/>
      <w:szCs w:val="20"/>
      <w:u w:val="none"/>
    </w:rPr>
  </w:style>
  <w:style w:type="character" w:customStyle="1" w:styleId="19">
    <w:name w:val="font31"/>
    <w:basedOn w:val="12"/>
    <w:qFormat/>
    <w:uiPriority w:val="0"/>
    <w:rPr>
      <w:rFonts w:hint="default" w:ascii="Times New Roman" w:hAnsi="Times New Roman" w:cs="Times New Roman"/>
      <w:color w:val="000000"/>
      <w:sz w:val="20"/>
      <w:szCs w:val="20"/>
      <w:u w:val="none"/>
    </w:rPr>
  </w:style>
  <w:style w:type="character" w:customStyle="1" w:styleId="20">
    <w:name w:val="font21"/>
    <w:basedOn w:val="12"/>
    <w:qFormat/>
    <w:uiPriority w:val="0"/>
    <w:rPr>
      <w:rFonts w:hint="default" w:ascii="Times New Roman" w:hAnsi="Times New Roman" w:cs="Times New Roman"/>
      <w:color w:val="000000"/>
      <w:sz w:val="20"/>
      <w:szCs w:val="20"/>
      <w:u w:val="none"/>
    </w:rPr>
  </w:style>
  <w:style w:type="character" w:customStyle="1" w:styleId="21">
    <w:name w:val="NormalCharacter"/>
    <w:semiHidden/>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5433</Words>
  <Characters>6546</Characters>
  <Lines>4</Lines>
  <Paragraphs>1</Paragraphs>
  <TotalTime>3</TotalTime>
  <ScaleCrop>false</ScaleCrop>
  <LinksUpToDate>false</LinksUpToDate>
  <CharactersWithSpaces>6872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2023-02-28T09:27:00Z</dcterms:created>
  <dc:creator>Administrator</dc:creator>
  <cp:lastModifiedBy>赞赞</cp:lastModifiedBy>
  <dcterms:modified xsi:type="dcterms:W3CDTF">2023-11-28T02:05:20Z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4F4DE394B6BA414CB6DF72C57CF810CF_13</vt:lpwstr>
  </property>
</Properties>
</file>