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atLeast"/>
        <w:jc w:val="right"/>
        <w:rPr>
          <w:rFonts w:asciiTheme="minorEastAsia" w:hAnsiTheme="minorEastAsia"/>
          <w:sz w:val="28"/>
          <w:szCs w:val="28"/>
        </w:rPr>
      </w:pPr>
    </w:p>
    <w:p>
      <w:pPr>
        <w:wordWrap w:val="0"/>
        <w:spacing w:line="440" w:lineRule="atLeast"/>
        <w:jc w:val="right"/>
        <w:rPr>
          <w:rFonts w:asciiTheme="minorEastAsia" w:hAnsiTheme="minorEastAsia"/>
          <w:sz w:val="28"/>
          <w:szCs w:val="28"/>
        </w:rPr>
      </w:pPr>
    </w:p>
    <w:p>
      <w:pPr>
        <w:spacing w:line="1000" w:lineRule="atLeast"/>
        <w:jc w:val="center"/>
        <w:rPr>
          <w:rFonts w:asciiTheme="minorEastAsia" w:hAnsiTheme="minorEastAsia"/>
          <w:b/>
          <w:spacing w:val="32"/>
          <w:w w:val="90"/>
          <w:sz w:val="52"/>
          <w:szCs w:val="52"/>
        </w:rPr>
      </w:pPr>
    </w:p>
    <w:p>
      <w:pPr>
        <w:spacing w:line="1000" w:lineRule="atLeast"/>
        <w:jc w:val="center"/>
        <w:rPr>
          <w:rFonts w:asciiTheme="minorEastAsia" w:hAnsiTheme="minorEastAsia"/>
          <w:b/>
          <w:spacing w:val="32"/>
          <w:w w:val="90"/>
          <w:sz w:val="52"/>
          <w:szCs w:val="52"/>
        </w:rPr>
      </w:pPr>
      <w:r>
        <w:rPr>
          <w:rFonts w:hint="eastAsia" w:asciiTheme="minorEastAsia" w:hAnsiTheme="minorEastAsia"/>
          <w:b/>
          <w:spacing w:val="32"/>
          <w:w w:val="90"/>
          <w:sz w:val="52"/>
          <w:szCs w:val="52"/>
        </w:rPr>
        <w:t>河北建工集团有限责任公司</w:t>
      </w:r>
    </w:p>
    <w:p>
      <w:pPr>
        <w:spacing w:line="1000" w:lineRule="atLeast"/>
        <w:jc w:val="center"/>
        <w:rPr>
          <w:rFonts w:asciiTheme="minorEastAsia" w:hAnsiTheme="minorEastAsia"/>
          <w:b/>
          <w:spacing w:val="32"/>
          <w:w w:val="90"/>
          <w:sz w:val="52"/>
          <w:szCs w:val="52"/>
        </w:rPr>
      </w:pPr>
      <w:r>
        <w:rPr>
          <w:rFonts w:hint="eastAsia" w:asciiTheme="minorEastAsia" w:hAnsiTheme="minorEastAsia"/>
          <w:b/>
          <w:spacing w:val="32"/>
          <w:w w:val="90"/>
          <w:sz w:val="52"/>
          <w:szCs w:val="52"/>
        </w:rPr>
        <w:t>设计研究院</w:t>
      </w:r>
    </w:p>
    <w:p>
      <w:pPr>
        <w:spacing w:line="1000" w:lineRule="atLeast"/>
        <w:jc w:val="center"/>
        <w:rPr>
          <w:rFonts w:asciiTheme="minorEastAsia" w:hAnsiTheme="minorEastAsia"/>
          <w:b/>
          <w:spacing w:val="32"/>
          <w:w w:val="90"/>
          <w:sz w:val="52"/>
          <w:szCs w:val="52"/>
        </w:rPr>
      </w:pPr>
      <w:r>
        <w:rPr>
          <w:rFonts w:hint="eastAsia" w:asciiTheme="minorEastAsia" w:hAnsiTheme="minorEastAsia"/>
          <w:b/>
          <w:spacing w:val="32"/>
          <w:w w:val="90"/>
          <w:sz w:val="52"/>
          <w:szCs w:val="52"/>
        </w:rPr>
        <w:t>服务器及相关设备采购</w:t>
      </w:r>
    </w:p>
    <w:p>
      <w:pPr>
        <w:spacing w:line="1000" w:lineRule="atLeast"/>
        <w:rPr>
          <w:rFonts w:asciiTheme="minorEastAsia" w:hAnsiTheme="minorEastAsia"/>
          <w:b/>
          <w:spacing w:val="32"/>
          <w:w w:val="90"/>
          <w:sz w:val="32"/>
          <w:szCs w:val="32"/>
        </w:rPr>
      </w:pPr>
    </w:p>
    <w:p>
      <w:pPr>
        <w:spacing w:line="1000" w:lineRule="atLeast"/>
        <w:jc w:val="center"/>
        <w:rPr>
          <w:rFonts w:asciiTheme="minorEastAsia" w:hAnsiTheme="minorEastAsia"/>
          <w:b/>
          <w:spacing w:val="32"/>
          <w:w w:val="90"/>
          <w:sz w:val="72"/>
          <w:szCs w:val="72"/>
        </w:rPr>
      </w:pPr>
      <w:r>
        <w:rPr>
          <w:rFonts w:hint="eastAsia" w:asciiTheme="minorEastAsia" w:hAnsiTheme="minorEastAsia"/>
          <w:b/>
          <w:spacing w:val="32"/>
          <w:w w:val="90"/>
          <w:sz w:val="72"/>
          <w:szCs w:val="72"/>
        </w:rPr>
        <w:t>招标文件</w:t>
      </w:r>
    </w:p>
    <w:p>
      <w:pPr>
        <w:spacing w:line="460" w:lineRule="exact"/>
        <w:jc w:val="center"/>
        <w:rPr>
          <w:rFonts w:asciiTheme="minorEastAsia" w:hAnsiTheme="minorEastAsia"/>
          <w:spacing w:val="12"/>
          <w:w w:val="90"/>
          <w:sz w:val="28"/>
        </w:rPr>
      </w:pPr>
    </w:p>
    <w:p>
      <w:pPr>
        <w:spacing w:line="460" w:lineRule="exact"/>
        <w:jc w:val="center"/>
        <w:rPr>
          <w:rFonts w:asciiTheme="minorEastAsia" w:hAnsiTheme="minorEastAsia"/>
          <w:spacing w:val="12"/>
          <w:w w:val="90"/>
          <w:sz w:val="28"/>
        </w:rPr>
      </w:pPr>
    </w:p>
    <w:p>
      <w:pPr>
        <w:spacing w:line="460" w:lineRule="exact"/>
        <w:jc w:val="center"/>
        <w:rPr>
          <w:rFonts w:asciiTheme="minorEastAsia" w:hAnsiTheme="minorEastAsia"/>
          <w:spacing w:val="12"/>
          <w:w w:val="90"/>
          <w:sz w:val="28"/>
        </w:rPr>
      </w:pPr>
    </w:p>
    <w:p>
      <w:pPr>
        <w:spacing w:line="460" w:lineRule="exact"/>
        <w:jc w:val="center"/>
        <w:rPr>
          <w:rFonts w:asciiTheme="minorEastAsia" w:hAnsiTheme="minorEastAsia"/>
          <w:spacing w:val="12"/>
          <w:w w:val="90"/>
          <w:sz w:val="28"/>
        </w:rPr>
      </w:pPr>
    </w:p>
    <w:p>
      <w:pPr>
        <w:spacing w:line="460" w:lineRule="exact"/>
        <w:jc w:val="center"/>
        <w:rPr>
          <w:rFonts w:asciiTheme="minorEastAsia" w:hAnsiTheme="minorEastAsia"/>
          <w:w w:val="90"/>
          <w:sz w:val="36"/>
          <w:szCs w:val="36"/>
        </w:rPr>
      </w:pPr>
    </w:p>
    <w:p>
      <w:pPr>
        <w:spacing w:line="460" w:lineRule="exact"/>
        <w:jc w:val="center"/>
        <w:rPr>
          <w:rFonts w:asciiTheme="minorEastAsia" w:hAnsiTheme="minorEastAsia"/>
          <w:w w:val="90"/>
          <w:sz w:val="36"/>
          <w:szCs w:val="36"/>
        </w:rPr>
      </w:pPr>
      <w:r>
        <w:rPr>
          <w:rFonts w:hint="eastAsia" w:asciiTheme="minorEastAsia" w:hAnsiTheme="minorEastAsia"/>
          <w:w w:val="90"/>
          <w:sz w:val="36"/>
          <w:szCs w:val="36"/>
        </w:rPr>
        <w:t>项目编号：Z230319</w:t>
      </w:r>
    </w:p>
    <w:p>
      <w:pPr>
        <w:jc w:val="center"/>
        <w:rPr>
          <w:rFonts w:asciiTheme="minorEastAsia" w:hAnsiTheme="minorEastAsia"/>
          <w:sz w:val="32"/>
          <w:szCs w:val="32"/>
        </w:rPr>
      </w:pPr>
      <w:r>
        <w:rPr>
          <w:rFonts w:hint="eastAsia" w:asciiTheme="minorEastAsia" w:hAnsiTheme="minorEastAsia"/>
          <w:sz w:val="32"/>
          <w:szCs w:val="32"/>
        </w:rPr>
        <w:t>二</w:t>
      </w:r>
      <w:r>
        <w:rPr>
          <w:rFonts w:hint="eastAsia" w:cs="宋体" w:asciiTheme="minorEastAsia" w:hAnsiTheme="minorEastAsia"/>
          <w:sz w:val="32"/>
          <w:szCs w:val="32"/>
        </w:rPr>
        <w:t>〇</w:t>
      </w:r>
      <w:r>
        <w:rPr>
          <w:rFonts w:hint="eastAsia" w:cs="仿宋_GB2312" w:asciiTheme="minorEastAsia" w:hAnsiTheme="minorEastAsia"/>
          <w:sz w:val="32"/>
          <w:szCs w:val="32"/>
          <w:lang w:val="en-US" w:eastAsia="zh-CN"/>
        </w:rPr>
        <w:t>二三</w:t>
      </w:r>
      <w:r>
        <w:rPr>
          <w:rFonts w:hint="eastAsia" w:cs="仿宋_GB2312" w:asciiTheme="minorEastAsia" w:hAnsiTheme="minorEastAsia"/>
          <w:sz w:val="32"/>
          <w:szCs w:val="32"/>
        </w:rPr>
        <w:t>年</w:t>
      </w:r>
      <w:r>
        <w:rPr>
          <w:rFonts w:hint="eastAsia" w:cs="仿宋_GB2312" w:asciiTheme="minorEastAsia" w:hAnsiTheme="minorEastAsia"/>
          <w:sz w:val="32"/>
          <w:szCs w:val="32"/>
          <w:lang w:val="en-US" w:eastAsia="zh-CN"/>
        </w:rPr>
        <w:t>7</w:t>
      </w:r>
      <w:r>
        <w:rPr>
          <w:rFonts w:hint="eastAsia" w:cs="仿宋_GB2312" w:asciiTheme="minorEastAsia" w:hAnsiTheme="minorEastAsia"/>
          <w:sz w:val="32"/>
          <w:szCs w:val="32"/>
        </w:rPr>
        <w:t>月</w:t>
      </w:r>
    </w:p>
    <w:p>
      <w:pPr>
        <w:jc w:val="center"/>
        <w:rPr>
          <w:rFonts w:asciiTheme="minorEastAsia" w:hAnsiTheme="minorEastAsia"/>
        </w:rPr>
      </w:pPr>
      <w:r>
        <w:rPr>
          <w:rFonts w:hint="eastAsia" w:asciiTheme="minorEastAsia" w:hAnsiTheme="minorEastAsia"/>
          <w:sz w:val="32"/>
          <w:szCs w:val="32"/>
        </w:rPr>
        <w:t>河北·石家庄</w:t>
      </w:r>
    </w:p>
    <w:p>
      <w:pPr>
        <w:rPr>
          <w:rFonts w:asciiTheme="minorEastAsia" w:hAnsiTheme="minorEastAsia"/>
        </w:rPr>
      </w:pPr>
    </w:p>
    <w:p>
      <w:pPr>
        <w:rPr>
          <w:rFonts w:asciiTheme="minorEastAsia" w:hAnsiTheme="minorEastAsia"/>
        </w:rPr>
      </w:pPr>
    </w:p>
    <w:p>
      <w:pPr>
        <w:jc w:val="center"/>
        <w:rPr>
          <w:rFonts w:asciiTheme="minorEastAsia" w:hAnsiTheme="minorEastAsia"/>
          <w:b/>
          <w:sz w:val="44"/>
          <w:szCs w:val="44"/>
        </w:rPr>
      </w:pPr>
    </w:p>
    <w:p>
      <w:pPr>
        <w:jc w:val="center"/>
        <w:rPr>
          <w:rFonts w:asciiTheme="minorEastAsia" w:hAnsiTheme="minorEastAsia"/>
          <w:b/>
          <w:sz w:val="44"/>
          <w:szCs w:val="44"/>
        </w:rPr>
      </w:pPr>
      <w:r>
        <w:rPr>
          <w:rFonts w:hint="eastAsia" w:asciiTheme="minorEastAsia" w:hAnsiTheme="minorEastAsia"/>
          <w:b/>
          <w:sz w:val="44"/>
          <w:szCs w:val="44"/>
        </w:rPr>
        <w:t>目  录</w:t>
      </w: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r>
        <w:rPr>
          <w:rFonts w:asciiTheme="minorEastAsia" w:hAnsiTheme="minorEastAsia"/>
          <w:sz w:val="32"/>
          <w:szCs w:val="32"/>
        </w:rPr>
        <w:t>第一卷</w:t>
      </w:r>
      <w:r>
        <w:rPr>
          <w:rFonts w:hint="eastAsia" w:asciiTheme="minorEastAsia" w:hAnsiTheme="minorEastAsia"/>
          <w:sz w:val="32"/>
          <w:szCs w:val="32"/>
        </w:rPr>
        <w:t xml:space="preserve">  </w:t>
      </w:r>
      <w:r>
        <w:rPr>
          <w:rFonts w:asciiTheme="minorEastAsia" w:hAnsiTheme="minorEastAsia"/>
          <w:sz w:val="32"/>
          <w:szCs w:val="32"/>
        </w:rPr>
        <w:t>投标邀请</w:t>
      </w: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r>
        <w:rPr>
          <w:rFonts w:asciiTheme="minorEastAsia" w:hAnsiTheme="minorEastAsia"/>
          <w:sz w:val="32"/>
          <w:szCs w:val="32"/>
        </w:rPr>
        <w:t>第二卷</w:t>
      </w:r>
      <w:r>
        <w:rPr>
          <w:rFonts w:hint="eastAsia" w:asciiTheme="minorEastAsia" w:hAnsiTheme="minorEastAsia"/>
          <w:sz w:val="32"/>
          <w:szCs w:val="32"/>
        </w:rPr>
        <w:t xml:space="preserve">  商务部分</w:t>
      </w: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r>
        <w:rPr>
          <w:rFonts w:asciiTheme="minorEastAsia" w:hAnsiTheme="minorEastAsia"/>
          <w:sz w:val="32"/>
          <w:szCs w:val="32"/>
        </w:rPr>
        <w:t>第三卷</w:t>
      </w:r>
      <w:r>
        <w:rPr>
          <w:rFonts w:hint="eastAsia" w:asciiTheme="minorEastAsia" w:hAnsiTheme="minorEastAsia"/>
          <w:sz w:val="32"/>
          <w:szCs w:val="32"/>
        </w:rPr>
        <w:t xml:space="preserve">  技术规范</w:t>
      </w: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r>
        <w:rPr>
          <w:rFonts w:asciiTheme="minorEastAsia" w:hAnsiTheme="minorEastAsia"/>
          <w:sz w:val="32"/>
          <w:szCs w:val="32"/>
        </w:rPr>
        <w:t>第四卷</w:t>
      </w:r>
      <w:r>
        <w:rPr>
          <w:rFonts w:hint="eastAsia" w:asciiTheme="minorEastAsia" w:hAnsiTheme="minorEastAsia"/>
          <w:sz w:val="32"/>
          <w:szCs w:val="32"/>
        </w:rPr>
        <w:t xml:space="preserve">  评标办法</w:t>
      </w: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r>
        <w:rPr>
          <w:rFonts w:hint="eastAsia" w:asciiTheme="minorEastAsia" w:hAnsiTheme="minorEastAsia"/>
          <w:sz w:val="32"/>
          <w:szCs w:val="32"/>
        </w:rPr>
        <w:t>第五卷  合同主要条款</w:t>
      </w:r>
    </w:p>
    <w:p>
      <w:pPr>
        <w:spacing w:after="0" w:line="240" w:lineRule="auto"/>
        <w:rPr>
          <w:rFonts w:asciiTheme="minorEastAsia" w:hAnsiTheme="minorEastAsia"/>
          <w:sz w:val="32"/>
          <w:szCs w:val="32"/>
        </w:rPr>
      </w:pPr>
    </w:p>
    <w:p>
      <w:pPr>
        <w:spacing w:after="0" w:line="240" w:lineRule="auto"/>
        <w:rPr>
          <w:rFonts w:asciiTheme="minorEastAsia" w:hAnsiTheme="minorEastAsia"/>
          <w:sz w:val="32"/>
          <w:szCs w:val="32"/>
        </w:rPr>
      </w:pPr>
      <w:r>
        <w:rPr>
          <w:rFonts w:asciiTheme="minorEastAsia" w:hAnsiTheme="minorEastAsia"/>
          <w:sz w:val="32"/>
          <w:szCs w:val="32"/>
        </w:rPr>
        <w:t>第</w:t>
      </w:r>
      <w:r>
        <w:rPr>
          <w:rFonts w:hint="eastAsia" w:asciiTheme="minorEastAsia" w:hAnsiTheme="minorEastAsia"/>
          <w:sz w:val="32"/>
          <w:szCs w:val="32"/>
        </w:rPr>
        <w:t>六</w:t>
      </w:r>
      <w:r>
        <w:rPr>
          <w:rFonts w:asciiTheme="minorEastAsia" w:hAnsiTheme="minorEastAsia"/>
          <w:sz w:val="32"/>
          <w:szCs w:val="32"/>
        </w:rPr>
        <w:t>卷</w:t>
      </w:r>
      <w:r>
        <w:rPr>
          <w:rFonts w:hint="eastAsia" w:asciiTheme="minorEastAsia" w:hAnsiTheme="minorEastAsia"/>
          <w:sz w:val="32"/>
          <w:szCs w:val="32"/>
        </w:rPr>
        <w:t xml:space="preserve">  附    件</w:t>
      </w:r>
    </w:p>
    <w:p>
      <w:pPr>
        <w:spacing w:after="0" w:line="240" w:lineRule="auto"/>
        <w:rPr>
          <w:rFonts w:asciiTheme="minorEastAsia" w:hAnsiTheme="minorEastAsia"/>
          <w:sz w:val="32"/>
          <w:szCs w:val="32"/>
        </w:rPr>
      </w:pPr>
    </w:p>
    <w:p>
      <w:pPr>
        <w:jc w:val="center"/>
        <w:rPr>
          <w:rFonts w:asciiTheme="minorEastAsia" w:hAnsiTheme="minorEastAsia"/>
          <w:b/>
          <w:sz w:val="44"/>
          <w:szCs w:val="44"/>
        </w:rPr>
      </w:pPr>
    </w:p>
    <w:p>
      <w:pPr>
        <w:spacing w:after="0" w:line="240" w:lineRule="auto"/>
        <w:rPr>
          <w:rFonts w:asciiTheme="minorEastAsia" w:hAnsiTheme="minorEastAsia"/>
          <w:sz w:val="44"/>
        </w:rPr>
      </w:pPr>
      <w:bookmarkStart w:id="0" w:name="_Toc249329255"/>
      <w:bookmarkStart w:id="1" w:name="_Toc249329084"/>
      <w:bookmarkStart w:id="2" w:name="_Toc530292178"/>
      <w:bookmarkStart w:id="3" w:name="_Toc70412918"/>
      <w:bookmarkStart w:id="4" w:name="_Toc530498337"/>
      <w:r>
        <w:rPr>
          <w:rFonts w:asciiTheme="minorEastAsia" w:hAnsiTheme="minorEastAsia"/>
          <w:sz w:val="44"/>
        </w:rPr>
        <w:br w:type="page"/>
      </w:r>
    </w:p>
    <w:p>
      <w:pPr>
        <w:spacing w:line="360" w:lineRule="auto"/>
        <w:jc w:val="center"/>
        <w:outlineLvl w:val="0"/>
        <w:rPr>
          <w:rFonts w:asciiTheme="minorEastAsia" w:hAnsiTheme="minorEastAsia"/>
          <w:sz w:val="44"/>
        </w:rPr>
      </w:pPr>
      <w:r>
        <w:rPr>
          <w:rFonts w:hint="eastAsia" w:asciiTheme="minorEastAsia" w:hAnsiTheme="minorEastAsia"/>
          <w:sz w:val="44"/>
        </w:rPr>
        <w:t>第一卷</w:t>
      </w:r>
      <w:bookmarkEnd w:id="0"/>
      <w:bookmarkEnd w:id="1"/>
      <w:r>
        <w:rPr>
          <w:rFonts w:hint="eastAsia" w:asciiTheme="minorEastAsia" w:hAnsiTheme="minorEastAsia"/>
          <w:sz w:val="44"/>
        </w:rPr>
        <w:t>投标邀请</w:t>
      </w:r>
    </w:p>
    <w:p>
      <w:pPr>
        <w:spacing w:line="460" w:lineRule="exact"/>
        <w:jc w:val="center"/>
        <w:rPr>
          <w:rFonts w:hint="default" w:asciiTheme="minorEastAsia" w:hAnsiTheme="minorEastAsia" w:eastAsiaTheme="minorEastAsia"/>
          <w:sz w:val="24"/>
          <w:u w:val="single"/>
          <w:lang w:val="en-US" w:eastAsia="zh-CN"/>
        </w:rPr>
      </w:pPr>
      <w:r>
        <w:rPr>
          <w:rFonts w:hint="eastAsia" w:asciiTheme="minorEastAsia" w:hAnsiTheme="minorEastAsia"/>
          <w:sz w:val="24"/>
        </w:rPr>
        <w:t>日    期：</w:t>
      </w:r>
      <w:r>
        <w:rPr>
          <w:rFonts w:asciiTheme="minorEastAsia" w:hAnsiTheme="minorEastAsia"/>
          <w:sz w:val="24"/>
          <w:u w:val="single"/>
        </w:rPr>
        <w:t>20</w:t>
      </w:r>
      <w:r>
        <w:rPr>
          <w:rFonts w:hint="eastAsia" w:asciiTheme="minorEastAsia" w:hAnsiTheme="minorEastAsia"/>
          <w:sz w:val="24"/>
          <w:u w:val="single"/>
          <w:lang w:val="en-US" w:eastAsia="zh-CN"/>
        </w:rPr>
        <w:t>23</w:t>
      </w:r>
      <w:r>
        <w:rPr>
          <w:rFonts w:asciiTheme="minorEastAsia" w:hAnsiTheme="minorEastAsia"/>
          <w:sz w:val="24"/>
          <w:u w:val="single"/>
        </w:rPr>
        <w:t>年</w:t>
      </w:r>
      <w:r>
        <w:rPr>
          <w:rFonts w:hint="eastAsia" w:asciiTheme="minorEastAsia" w:hAnsiTheme="minorEastAsia"/>
          <w:sz w:val="24"/>
          <w:u w:val="single"/>
          <w:lang w:val="en-US" w:eastAsia="zh-CN"/>
        </w:rPr>
        <w:t>07</w:t>
      </w:r>
      <w:r>
        <w:rPr>
          <w:rFonts w:asciiTheme="minorEastAsia" w:hAnsiTheme="minorEastAsia"/>
          <w:sz w:val="24"/>
          <w:u w:val="single"/>
        </w:rPr>
        <w:t>月</w:t>
      </w:r>
      <w:r>
        <w:rPr>
          <w:rFonts w:hint="eastAsia" w:asciiTheme="minorEastAsia" w:hAnsiTheme="minorEastAsia"/>
          <w:sz w:val="24"/>
          <w:u w:val="single"/>
          <w:lang w:val="en-US" w:eastAsia="zh-CN"/>
        </w:rPr>
        <w:t>03</w:t>
      </w:r>
      <w:r>
        <w:rPr>
          <w:rFonts w:asciiTheme="minorEastAsia" w:hAnsiTheme="minorEastAsia"/>
          <w:sz w:val="24"/>
          <w:u w:val="single"/>
        </w:rPr>
        <w:t>日</w:t>
      </w:r>
      <w:r>
        <w:rPr>
          <w:rFonts w:hint="eastAsia" w:asciiTheme="minorEastAsia" w:hAnsiTheme="minorEastAsia"/>
          <w:sz w:val="24"/>
          <w:u w:val="none"/>
          <w:lang w:val="en-US" w:eastAsia="zh-CN"/>
        </w:rPr>
        <w:t xml:space="preserve">  </w:t>
      </w:r>
      <w:r>
        <w:rPr>
          <w:rFonts w:hint="eastAsia" w:asciiTheme="minorEastAsia" w:hAnsiTheme="minorEastAsia"/>
          <w:sz w:val="24"/>
        </w:rPr>
        <w:t>招标编号：Z2303</w:t>
      </w:r>
      <w:r>
        <w:rPr>
          <w:rFonts w:hint="eastAsia" w:asciiTheme="minorEastAsia" w:hAnsiTheme="minorEastAsia"/>
          <w:sz w:val="24"/>
          <w:lang w:val="en-US" w:eastAsia="zh-CN"/>
        </w:rPr>
        <w:t>30</w:t>
      </w:r>
    </w:p>
    <w:p>
      <w:pPr>
        <w:numPr>
          <w:ilvl w:val="0"/>
          <w:numId w:val="6"/>
        </w:numPr>
        <w:tabs>
          <w:tab w:val="left" w:pos="1176"/>
        </w:tabs>
        <w:spacing w:line="400" w:lineRule="exact"/>
        <w:rPr>
          <w:rFonts w:asciiTheme="minorEastAsia" w:hAnsiTheme="minorEastAsia"/>
          <w:sz w:val="24"/>
        </w:rPr>
      </w:pPr>
      <w:r>
        <w:rPr>
          <w:rFonts w:hint="eastAsia" w:asciiTheme="minorEastAsia" w:hAnsiTheme="minorEastAsia"/>
          <w:b/>
          <w:bCs/>
          <w:sz w:val="24"/>
          <w:lang w:val="en-US" w:eastAsia="zh-CN"/>
        </w:rPr>
        <w:t>招标主体：</w:t>
      </w:r>
      <w:r>
        <w:rPr>
          <w:rFonts w:hint="eastAsia" w:asciiTheme="minorEastAsia" w:hAnsiTheme="minorEastAsia"/>
          <w:sz w:val="24"/>
        </w:rPr>
        <w:t>河北建工集团有限责任公司设计研究院计划进行服务器及相关设备采购项目的招标，并使用自有资金用于本次招标后所签订的合同的支付。</w:t>
      </w:r>
      <w:r>
        <w:rPr>
          <w:rFonts w:hint="eastAsia" w:asciiTheme="minorEastAsia" w:hAnsiTheme="minorEastAsia"/>
          <w:sz w:val="24"/>
          <w:lang w:val="en-US" w:eastAsia="zh-CN"/>
        </w:rPr>
        <w:t>服务器及设备的规格请参考本文件 第三卷 技术规范</w:t>
      </w:r>
      <w:r>
        <w:rPr>
          <w:rFonts w:hint="eastAsia" w:asciiTheme="minorEastAsia" w:hAnsiTheme="minorEastAsia"/>
          <w:sz w:val="24"/>
        </w:rPr>
        <w:t>。</w:t>
      </w:r>
    </w:p>
    <w:p>
      <w:pPr>
        <w:numPr>
          <w:ilvl w:val="0"/>
          <w:numId w:val="6"/>
        </w:numPr>
        <w:tabs>
          <w:tab w:val="left" w:pos="1176"/>
        </w:tabs>
        <w:spacing w:line="400" w:lineRule="exact"/>
        <w:rPr>
          <w:rFonts w:asciiTheme="minorEastAsia" w:hAnsiTheme="minorEastAsia"/>
          <w:sz w:val="24"/>
        </w:rPr>
      </w:pPr>
      <w:r>
        <w:rPr>
          <w:rFonts w:hint="eastAsia" w:asciiTheme="minorEastAsia" w:hAnsiTheme="minorEastAsia"/>
          <w:b/>
          <w:bCs/>
          <w:sz w:val="24"/>
          <w:lang w:val="en-US" w:eastAsia="zh-CN"/>
        </w:rPr>
        <w:t>招标形式：中采网（www.cnzhongcai.com)线上报价，线下评标的形式</w:t>
      </w:r>
      <w:r>
        <w:rPr>
          <w:rFonts w:hint="eastAsia" w:asciiTheme="minorEastAsia" w:hAnsiTheme="minorEastAsia"/>
          <w:sz w:val="24"/>
        </w:rPr>
        <w:t>。</w:t>
      </w:r>
    </w:p>
    <w:p>
      <w:pPr>
        <w:numPr>
          <w:ilvl w:val="0"/>
          <w:numId w:val="6"/>
        </w:numPr>
        <w:tabs>
          <w:tab w:val="left" w:pos="1176"/>
        </w:tabs>
        <w:spacing w:line="400" w:lineRule="exact"/>
        <w:rPr>
          <w:rFonts w:asciiTheme="minorEastAsia" w:hAnsiTheme="minorEastAsia"/>
          <w:sz w:val="24"/>
        </w:rPr>
      </w:pPr>
      <w:r>
        <w:rPr>
          <w:rFonts w:hint="eastAsia" w:asciiTheme="minorEastAsia" w:hAnsiTheme="minorEastAsia"/>
          <w:b/>
          <w:bCs/>
          <w:sz w:val="24"/>
          <w:lang w:val="en-US" w:eastAsia="zh-CN"/>
        </w:rPr>
        <w:t>投标保证金：</w:t>
      </w:r>
      <w:bookmarkEnd w:id="2"/>
      <w:bookmarkEnd w:id="3"/>
      <w:bookmarkEnd w:id="4"/>
      <w:r>
        <w:rPr>
          <w:rFonts w:hint="eastAsia" w:asciiTheme="minorEastAsia" w:hAnsiTheme="minorEastAsia"/>
          <w:sz w:val="24"/>
          <w:lang w:val="en-US" w:eastAsia="zh-CN"/>
        </w:rPr>
        <w:t>参标供应商需</w:t>
      </w:r>
      <w:r>
        <w:rPr>
          <w:rFonts w:hint="eastAsia" w:asciiTheme="minorEastAsia" w:hAnsiTheme="minorEastAsia"/>
          <w:b/>
          <w:bCs/>
          <w:sz w:val="24"/>
          <w:lang w:val="en-US" w:eastAsia="zh-CN"/>
        </w:rPr>
        <w:t>提前在中采网平台进行注册</w:t>
      </w:r>
      <w:r>
        <w:rPr>
          <w:rFonts w:hint="eastAsia" w:asciiTheme="minorEastAsia" w:hAnsiTheme="minorEastAsia"/>
          <w:sz w:val="24"/>
          <w:lang w:val="en-US" w:eastAsia="zh-CN"/>
        </w:rPr>
        <w:t>，并在开标前缴纳</w:t>
      </w:r>
      <w:r>
        <w:rPr>
          <w:rFonts w:hint="eastAsia" w:asciiTheme="minorEastAsia" w:hAnsiTheme="minorEastAsia"/>
          <w:b/>
          <w:bCs/>
          <w:sz w:val="24"/>
          <w:lang w:val="en-US" w:eastAsia="zh-CN"/>
        </w:rPr>
        <w:t>投标保证金20000元（贰万元整）</w:t>
      </w:r>
      <w:r>
        <w:rPr>
          <w:rFonts w:hint="eastAsia" w:asciiTheme="minorEastAsia" w:hAnsiTheme="minorEastAsia"/>
          <w:sz w:val="24"/>
          <w:lang w:val="en-US" w:eastAsia="zh-CN"/>
        </w:rPr>
        <w:t>，投标结束后5个工作日退回。</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bCs/>
          <w:sz w:val="24"/>
          <w:szCs w:val="22"/>
          <w:lang w:val="en-US" w:eastAsia="zh-CN" w:bidi="ar-SA"/>
        </w:rPr>
      </w:pPr>
      <w:r>
        <w:rPr>
          <w:rFonts w:hint="eastAsia" w:asciiTheme="minorEastAsia" w:hAnsiTheme="minorEastAsia"/>
          <w:sz w:val="24"/>
          <w:lang w:val="en-US" w:eastAsia="zh-CN"/>
        </w:rPr>
        <w:t xml:space="preserve"> </w:t>
      </w:r>
      <w:r>
        <w:rPr>
          <w:rFonts w:hint="eastAsia" w:asciiTheme="minorEastAsia" w:hAnsiTheme="minorEastAsia"/>
          <w:b/>
          <w:bCs/>
          <w:sz w:val="24"/>
          <w:lang w:val="en-US" w:eastAsia="zh-CN"/>
        </w:rPr>
        <w:t xml:space="preserve"> 保证金缴纳</w:t>
      </w:r>
      <w:r>
        <w:rPr>
          <w:rFonts w:hint="eastAsia" w:asciiTheme="minorEastAsia" w:hAnsiTheme="minorEastAsia"/>
          <w:b/>
          <w:bCs/>
          <w:sz w:val="24"/>
        </w:rPr>
        <w:t>账户：</w:t>
      </w:r>
      <w:r>
        <w:rPr>
          <w:rFonts w:hint="eastAsia" w:asciiTheme="minorEastAsia" w:hAnsiTheme="minorEastAsia"/>
          <w:bCs/>
          <w:sz w:val="24"/>
          <w:lang w:val="en-US" w:eastAsia="zh-CN"/>
        </w:rPr>
        <w:t xml:space="preserve">    </w:t>
      </w:r>
      <w:r>
        <w:rPr>
          <w:rFonts w:hint="eastAsia" w:asciiTheme="minorEastAsia" w:hAnsiTheme="minorEastAsia" w:eastAsiaTheme="minorEastAsia" w:cstheme="minorEastAsia"/>
          <w:bCs/>
          <w:sz w:val="24"/>
          <w:szCs w:val="22"/>
          <w:lang w:val="en-US" w:eastAsia="zh-CN" w:bidi="ar-SA"/>
        </w:rPr>
        <w:t>单位名称：河北建工物流有限公司</w:t>
      </w:r>
    </w:p>
    <w:p>
      <w:pPr>
        <w:keepNext w:val="0"/>
        <w:keepLines w:val="0"/>
        <w:pageBreakBefore w:val="0"/>
        <w:widowControl/>
        <w:kinsoku/>
        <w:wordWrap/>
        <w:overflowPunct/>
        <w:topLinePunct w:val="0"/>
        <w:autoSpaceDE/>
        <w:autoSpaceDN/>
        <w:bidi w:val="0"/>
        <w:adjustRightInd/>
        <w:snapToGrid/>
        <w:spacing w:line="240" w:lineRule="auto"/>
        <w:ind w:firstLine="3120" w:firstLineChars="1300"/>
        <w:textAlignment w:val="auto"/>
        <w:rPr>
          <w:rFonts w:hint="eastAsia" w:asciiTheme="minorEastAsia" w:hAnsiTheme="minorEastAsia" w:eastAsiaTheme="minorEastAsia" w:cstheme="minorEastAsia"/>
          <w:bCs/>
          <w:sz w:val="24"/>
          <w:szCs w:val="22"/>
          <w:lang w:val="en-US" w:eastAsia="zh-CN" w:bidi="ar-SA"/>
        </w:rPr>
      </w:pPr>
      <w:r>
        <w:rPr>
          <w:rFonts w:hint="eastAsia" w:asciiTheme="minorEastAsia" w:hAnsiTheme="minorEastAsia" w:eastAsiaTheme="minorEastAsia" w:cstheme="minorEastAsia"/>
          <w:bCs/>
          <w:sz w:val="24"/>
          <w:szCs w:val="22"/>
          <w:lang w:val="en-US" w:eastAsia="zh-CN" w:bidi="ar-SA"/>
        </w:rPr>
        <w:t>开户银行：光大银行石家庄西王支行</w:t>
      </w:r>
    </w:p>
    <w:p>
      <w:pPr>
        <w:keepNext w:val="0"/>
        <w:keepLines w:val="0"/>
        <w:pageBreakBefore w:val="0"/>
        <w:widowControl/>
        <w:kinsoku/>
        <w:wordWrap/>
        <w:overflowPunct/>
        <w:topLinePunct w:val="0"/>
        <w:autoSpaceDE/>
        <w:autoSpaceDN/>
        <w:bidi w:val="0"/>
        <w:adjustRightInd/>
        <w:snapToGrid/>
        <w:spacing w:line="240" w:lineRule="auto"/>
        <w:ind w:firstLine="3120" w:firstLineChars="1300"/>
        <w:textAlignment w:val="auto"/>
        <w:rPr>
          <w:rFonts w:hint="eastAsia" w:asciiTheme="minorEastAsia" w:hAnsiTheme="minorEastAsia" w:eastAsiaTheme="minorEastAsia" w:cstheme="minorEastAsia"/>
          <w:bCs/>
          <w:sz w:val="24"/>
          <w:szCs w:val="22"/>
          <w:lang w:val="en-US" w:eastAsia="zh-CN" w:bidi="ar-SA"/>
        </w:rPr>
      </w:pPr>
      <w:r>
        <w:rPr>
          <w:rFonts w:hint="eastAsia" w:asciiTheme="minorEastAsia" w:hAnsiTheme="minorEastAsia" w:eastAsiaTheme="minorEastAsia" w:cstheme="minorEastAsia"/>
          <w:bCs/>
          <w:sz w:val="24"/>
          <w:szCs w:val="22"/>
          <w:lang w:val="en-US" w:eastAsia="zh-CN" w:bidi="ar-SA"/>
        </w:rPr>
        <w:t>账户：75220188000078821 </w:t>
      </w:r>
    </w:p>
    <w:p>
      <w:pPr>
        <w:numPr>
          <w:ilvl w:val="0"/>
          <w:numId w:val="6"/>
        </w:numPr>
        <w:tabs>
          <w:tab w:val="left" w:pos="1176"/>
        </w:tabs>
        <w:spacing w:line="400" w:lineRule="exact"/>
        <w:rPr>
          <w:rFonts w:hint="eastAsia" w:asciiTheme="minorEastAsia" w:hAnsiTheme="minorEastAsia"/>
          <w:sz w:val="24"/>
        </w:rPr>
      </w:pPr>
      <w:r>
        <w:rPr>
          <w:rFonts w:hint="eastAsia" w:asciiTheme="minorEastAsia" w:hAnsiTheme="minorEastAsia"/>
          <w:b/>
          <w:bCs/>
          <w:sz w:val="24"/>
          <w:lang w:val="en-US" w:eastAsia="zh-CN"/>
        </w:rPr>
        <w:t>报名须知：</w:t>
      </w:r>
      <w:r>
        <w:rPr>
          <w:rFonts w:hint="eastAsia" w:asciiTheme="minorEastAsia" w:hAnsiTheme="minorEastAsia"/>
          <w:b/>
          <w:bCs/>
          <w:sz w:val="24"/>
        </w:rPr>
        <w:t>所有投标文件</w:t>
      </w:r>
      <w:r>
        <w:rPr>
          <w:rFonts w:hint="eastAsia" w:asciiTheme="minorEastAsia" w:hAnsiTheme="minorEastAsia"/>
          <w:b/>
          <w:bCs/>
          <w:sz w:val="24"/>
          <w:lang w:val="en-US" w:eastAsia="zh-CN"/>
        </w:rPr>
        <w:t>的电子版</w:t>
      </w:r>
      <w:r>
        <w:rPr>
          <w:rFonts w:hint="eastAsia" w:asciiTheme="minorEastAsia" w:hAnsiTheme="minorEastAsia"/>
          <w:b/>
          <w:bCs/>
          <w:sz w:val="24"/>
        </w:rPr>
        <w:t>应于</w:t>
      </w:r>
      <w:r>
        <w:rPr>
          <w:rFonts w:hint="eastAsia" w:asciiTheme="minorEastAsia" w:hAnsiTheme="minorEastAsia"/>
          <w:b/>
          <w:sz w:val="24"/>
        </w:rPr>
        <w:t>20</w:t>
      </w:r>
      <w:r>
        <w:rPr>
          <w:rFonts w:hint="eastAsia" w:asciiTheme="minorEastAsia" w:hAnsiTheme="minorEastAsia"/>
          <w:b/>
          <w:sz w:val="24"/>
          <w:lang w:val="en-US" w:eastAsia="zh-CN"/>
        </w:rPr>
        <w:t>23</w:t>
      </w:r>
      <w:r>
        <w:rPr>
          <w:rFonts w:hint="eastAsia" w:asciiTheme="minorEastAsia" w:hAnsiTheme="minorEastAsia"/>
          <w:b/>
          <w:sz w:val="24"/>
        </w:rPr>
        <w:t>年</w:t>
      </w:r>
      <w:r>
        <w:rPr>
          <w:rFonts w:hint="eastAsia" w:asciiTheme="minorEastAsia" w:hAnsiTheme="minorEastAsia"/>
          <w:b/>
          <w:sz w:val="24"/>
          <w:lang w:val="en-US" w:eastAsia="zh-CN"/>
        </w:rPr>
        <w:t>07</w:t>
      </w:r>
      <w:r>
        <w:rPr>
          <w:rFonts w:hint="eastAsia" w:asciiTheme="minorEastAsia" w:hAnsiTheme="minorEastAsia"/>
          <w:b/>
          <w:sz w:val="24"/>
        </w:rPr>
        <w:t>月</w:t>
      </w:r>
      <w:r>
        <w:rPr>
          <w:rFonts w:hint="eastAsia" w:asciiTheme="minorEastAsia" w:hAnsiTheme="minorEastAsia"/>
          <w:b/>
          <w:sz w:val="24"/>
          <w:lang w:val="en-US" w:eastAsia="zh-CN"/>
        </w:rPr>
        <w:t>06</w:t>
      </w:r>
      <w:r>
        <w:rPr>
          <w:rFonts w:hint="eastAsia" w:asciiTheme="minorEastAsia" w:hAnsiTheme="minorEastAsia"/>
          <w:b/>
          <w:sz w:val="24"/>
        </w:rPr>
        <w:t>日之前</w:t>
      </w:r>
      <w:r>
        <w:rPr>
          <w:rFonts w:hint="eastAsia" w:asciiTheme="minorEastAsia" w:hAnsiTheme="minorEastAsia"/>
          <w:b/>
          <w:bCs/>
          <w:sz w:val="24"/>
          <w:lang w:val="en-US" w:eastAsia="zh-CN"/>
        </w:rPr>
        <w:t>发至项目方电子</w:t>
      </w:r>
      <w:r>
        <w:rPr>
          <w:rFonts w:hint="eastAsia" w:asciiTheme="minorEastAsia" w:hAnsiTheme="minorEastAsia"/>
          <w:b/>
          <w:sz w:val="24"/>
          <w:szCs w:val="22"/>
        </w:rPr>
        <w:t xml:space="preserve">邮箱：450588200@qq.com </w:t>
      </w:r>
      <w:r>
        <w:rPr>
          <w:rFonts w:hint="eastAsia" w:asciiTheme="minorEastAsia" w:hAnsiTheme="minorEastAsia"/>
          <w:b/>
          <w:sz w:val="24"/>
          <w:szCs w:val="22"/>
          <w:lang w:val="en-US" w:eastAsia="zh-CN"/>
        </w:rPr>
        <w:t xml:space="preserve"> 。</w:t>
      </w:r>
    </w:p>
    <w:p>
      <w:pPr>
        <w:numPr>
          <w:ilvl w:val="0"/>
          <w:numId w:val="6"/>
        </w:numPr>
        <w:tabs>
          <w:tab w:val="left" w:pos="1176"/>
        </w:tabs>
        <w:spacing w:line="400" w:lineRule="exact"/>
        <w:rPr>
          <w:rFonts w:asciiTheme="minorEastAsia" w:hAnsiTheme="minorEastAsia"/>
          <w:sz w:val="24"/>
        </w:rPr>
      </w:pPr>
      <w:r>
        <w:rPr>
          <w:rFonts w:hint="eastAsia" w:asciiTheme="minorEastAsia" w:hAnsiTheme="minorEastAsia"/>
          <w:b/>
          <w:bCs/>
          <w:sz w:val="24"/>
          <w:lang w:val="en-US" w:eastAsia="zh-CN"/>
        </w:rPr>
        <w:t>开标时间：投标供应商应</w:t>
      </w:r>
      <w:r>
        <w:rPr>
          <w:rFonts w:hint="eastAsia" w:asciiTheme="minorEastAsia" w:hAnsiTheme="minorEastAsia"/>
          <w:b/>
          <w:bCs/>
          <w:sz w:val="24"/>
        </w:rPr>
        <w:t>于</w:t>
      </w:r>
      <w:r>
        <w:rPr>
          <w:rFonts w:hint="eastAsia" w:asciiTheme="minorEastAsia" w:hAnsiTheme="minorEastAsia"/>
          <w:b/>
          <w:sz w:val="24"/>
        </w:rPr>
        <w:t>20</w:t>
      </w:r>
      <w:r>
        <w:rPr>
          <w:rFonts w:hint="eastAsia" w:asciiTheme="minorEastAsia" w:hAnsiTheme="minorEastAsia"/>
          <w:b/>
          <w:sz w:val="24"/>
          <w:lang w:val="en-US" w:eastAsia="zh-CN"/>
        </w:rPr>
        <w:t>23</w:t>
      </w:r>
      <w:r>
        <w:rPr>
          <w:rFonts w:hint="eastAsia" w:asciiTheme="minorEastAsia" w:hAnsiTheme="minorEastAsia"/>
          <w:b/>
          <w:sz w:val="24"/>
        </w:rPr>
        <w:t>年</w:t>
      </w:r>
      <w:r>
        <w:rPr>
          <w:rFonts w:hint="eastAsia" w:asciiTheme="minorEastAsia" w:hAnsiTheme="minorEastAsia"/>
          <w:b/>
          <w:sz w:val="24"/>
          <w:lang w:val="en-US" w:eastAsia="zh-CN"/>
        </w:rPr>
        <w:t>07</w:t>
      </w:r>
      <w:r>
        <w:rPr>
          <w:rFonts w:hint="eastAsia" w:asciiTheme="minorEastAsia" w:hAnsiTheme="minorEastAsia"/>
          <w:b/>
          <w:sz w:val="24"/>
        </w:rPr>
        <w:t>月</w:t>
      </w:r>
      <w:r>
        <w:rPr>
          <w:rFonts w:hint="eastAsia" w:asciiTheme="minorEastAsia" w:hAnsiTheme="minorEastAsia"/>
          <w:b/>
          <w:sz w:val="24"/>
          <w:lang w:val="en-US" w:eastAsia="zh-CN"/>
        </w:rPr>
        <w:t>07</w:t>
      </w:r>
      <w:r>
        <w:rPr>
          <w:rFonts w:hint="eastAsia" w:asciiTheme="minorEastAsia" w:hAnsiTheme="minorEastAsia"/>
          <w:b/>
          <w:sz w:val="24"/>
        </w:rPr>
        <w:t>日</w:t>
      </w:r>
      <w:r>
        <w:rPr>
          <w:rFonts w:hint="eastAsia" w:asciiTheme="minorEastAsia" w:hAnsiTheme="minorEastAsia"/>
          <w:b/>
          <w:sz w:val="24"/>
          <w:lang w:val="en-US" w:eastAsia="zh-CN"/>
        </w:rPr>
        <w:t>下</w:t>
      </w:r>
      <w:r>
        <w:rPr>
          <w:rFonts w:hint="eastAsia" w:asciiTheme="minorEastAsia" w:hAnsiTheme="minorEastAsia"/>
          <w:b/>
          <w:sz w:val="24"/>
        </w:rPr>
        <w:t>午</w:t>
      </w:r>
      <w:r>
        <w:rPr>
          <w:rFonts w:hint="eastAsia" w:asciiTheme="minorEastAsia" w:hAnsiTheme="minorEastAsia"/>
          <w:b/>
          <w:sz w:val="24"/>
          <w:lang w:val="en-US" w:eastAsia="zh-CN"/>
        </w:rPr>
        <w:t>16</w:t>
      </w:r>
      <w:r>
        <w:rPr>
          <w:rFonts w:hint="eastAsia" w:asciiTheme="minorEastAsia" w:hAnsiTheme="minorEastAsia"/>
          <w:b/>
          <w:sz w:val="24"/>
        </w:rPr>
        <w:t>:</w:t>
      </w:r>
      <w:r>
        <w:rPr>
          <w:rFonts w:hint="eastAsia" w:asciiTheme="minorEastAsia" w:hAnsiTheme="minorEastAsia"/>
          <w:b/>
          <w:sz w:val="24"/>
          <w:lang w:val="en-US" w:eastAsia="zh-CN"/>
        </w:rPr>
        <w:t>30-17:30</w:t>
      </w:r>
      <w:r>
        <w:rPr>
          <w:rFonts w:hint="eastAsia" w:asciiTheme="minorEastAsia" w:hAnsiTheme="minorEastAsia"/>
          <w:b/>
          <w:bCs/>
          <w:sz w:val="24"/>
        </w:rPr>
        <w:t>在</w:t>
      </w:r>
      <w:r>
        <w:rPr>
          <w:rFonts w:hint="eastAsia" w:asciiTheme="minorEastAsia" w:hAnsiTheme="minorEastAsia"/>
          <w:b/>
          <w:bCs/>
          <w:sz w:val="24"/>
          <w:lang w:val="en-US" w:eastAsia="zh-CN"/>
        </w:rPr>
        <w:t>中采网平台（www.cnzhongcai.com)进行网上报价，选出价格最低的三家供应商。</w:t>
      </w:r>
    </w:p>
    <w:p>
      <w:pPr>
        <w:numPr>
          <w:ilvl w:val="0"/>
          <w:numId w:val="6"/>
        </w:numPr>
        <w:tabs>
          <w:tab w:val="left" w:pos="1176"/>
        </w:tabs>
        <w:spacing w:line="400" w:lineRule="exact"/>
        <w:rPr>
          <w:rFonts w:asciiTheme="minorEastAsia" w:hAnsiTheme="minorEastAsia"/>
          <w:sz w:val="24"/>
        </w:rPr>
      </w:pPr>
      <w:r>
        <w:rPr>
          <w:rFonts w:hint="eastAsia" w:asciiTheme="minorEastAsia" w:hAnsiTheme="minorEastAsia"/>
          <w:b/>
          <w:bCs/>
          <w:sz w:val="24"/>
          <w:lang w:val="en-US" w:eastAsia="zh-CN"/>
        </w:rPr>
        <w:t>评标时间及地点：入围供应商于</w:t>
      </w:r>
      <w:r>
        <w:rPr>
          <w:rFonts w:hint="eastAsia" w:asciiTheme="minorEastAsia" w:hAnsiTheme="minorEastAsia"/>
          <w:b/>
          <w:sz w:val="24"/>
          <w:szCs w:val="22"/>
          <w:lang w:val="en-US" w:eastAsia="zh-CN"/>
        </w:rPr>
        <w:t>10号上午10：00在</w:t>
      </w:r>
      <w:r>
        <w:rPr>
          <w:rFonts w:hint="eastAsia" w:asciiTheme="minorEastAsia" w:hAnsiTheme="minorEastAsia"/>
          <w:b/>
          <w:sz w:val="24"/>
        </w:rPr>
        <w:t>河北建工集团设计研究院12F会议室</w:t>
      </w:r>
      <w:r>
        <w:rPr>
          <w:rFonts w:hint="eastAsia" w:asciiTheme="minorEastAsia" w:hAnsiTheme="minorEastAsia"/>
          <w:b/>
          <w:sz w:val="24"/>
          <w:lang w:val="en-US" w:eastAsia="zh-CN"/>
        </w:rPr>
        <w:t>参加评标，所需携带资料以招标文件中为准</w:t>
      </w:r>
      <w:r>
        <w:rPr>
          <w:rFonts w:hint="eastAsia" w:asciiTheme="minorEastAsia" w:hAnsiTheme="minorEastAsia"/>
          <w:sz w:val="24"/>
        </w:rPr>
        <w:t>（如有变化，另行通知）。</w:t>
      </w:r>
    </w:p>
    <w:p>
      <w:pPr>
        <w:numPr>
          <w:ilvl w:val="0"/>
          <w:numId w:val="6"/>
        </w:numPr>
        <w:tabs>
          <w:tab w:val="left" w:pos="1176"/>
        </w:tabs>
        <w:spacing w:line="400" w:lineRule="exact"/>
        <w:rPr>
          <w:rFonts w:asciiTheme="minorEastAsia" w:hAnsiTheme="minorEastAsia"/>
          <w:sz w:val="24"/>
        </w:rPr>
      </w:pPr>
      <w:r>
        <w:rPr>
          <w:rFonts w:hint="eastAsia" w:asciiTheme="minorEastAsia" w:hAnsiTheme="minorEastAsia"/>
          <w:sz w:val="24"/>
        </w:rPr>
        <w:t>招标人不承诺招标中必然有一位投标人中标。招标结束后，招标人不向未中标方做出任何解释。</w:t>
      </w:r>
    </w:p>
    <w:p>
      <w:pPr>
        <w:numPr>
          <w:ilvl w:val="0"/>
          <w:numId w:val="6"/>
        </w:numPr>
        <w:tabs>
          <w:tab w:val="left" w:pos="1176"/>
        </w:tabs>
        <w:spacing w:line="400" w:lineRule="exact"/>
        <w:rPr>
          <w:rFonts w:asciiTheme="minorEastAsia" w:hAnsiTheme="minorEastAsia"/>
          <w:sz w:val="24"/>
        </w:rPr>
      </w:pPr>
      <w:r>
        <w:rPr>
          <w:rFonts w:hint="eastAsia" w:ascii="宋体" w:hAnsi="宋体"/>
          <w:color w:val="000000"/>
          <w:sz w:val="24"/>
        </w:rPr>
        <w:t>如果投标人少于三个，招标人按规定重新招标。</w:t>
      </w:r>
    </w:p>
    <w:p>
      <w:pPr>
        <w:numPr>
          <w:ilvl w:val="0"/>
          <w:numId w:val="6"/>
        </w:numPr>
        <w:tabs>
          <w:tab w:val="left" w:pos="1176"/>
        </w:tabs>
        <w:spacing w:line="400" w:lineRule="exact"/>
        <w:rPr>
          <w:rFonts w:asciiTheme="minorEastAsia" w:hAnsiTheme="minorEastAsia"/>
          <w:sz w:val="24"/>
        </w:rPr>
      </w:pPr>
      <w:r>
        <w:rPr>
          <w:rFonts w:hint="eastAsia" w:ascii="Times New Roman" w:hAnsi="Times New Roman" w:eastAsia="宋体" w:cs="Times New Roman"/>
          <w:b/>
          <w:bCs/>
          <w:kern w:val="2"/>
          <w:sz w:val="24"/>
          <w:szCs w:val="24"/>
          <w:lang w:val="en-US" w:eastAsia="zh-CN"/>
        </w:rPr>
        <w:t>付款方式：</w:t>
      </w:r>
      <w:r>
        <w:rPr>
          <w:rFonts w:hint="eastAsia" w:ascii="Times New Roman" w:hAnsi="Times New Roman" w:eastAsia="宋体" w:cs="Times New Roman"/>
          <w:kern w:val="2"/>
          <w:sz w:val="24"/>
          <w:szCs w:val="24"/>
        </w:rPr>
        <w:t>货到现场</w:t>
      </w:r>
      <w:r>
        <w:rPr>
          <w:rFonts w:hint="eastAsia" w:ascii="Times New Roman" w:hAnsi="Times New Roman" w:eastAsia="宋体" w:cs="Times New Roman"/>
          <w:b/>
          <w:bCs/>
          <w:kern w:val="2"/>
          <w:sz w:val="24"/>
          <w:szCs w:val="24"/>
        </w:rPr>
        <w:t>验收合格</w:t>
      </w:r>
      <w:r>
        <w:rPr>
          <w:rFonts w:hint="eastAsia" w:ascii="Times New Roman" w:hAnsi="Times New Roman" w:eastAsia="宋体" w:cs="Times New Roman"/>
          <w:kern w:val="2"/>
          <w:sz w:val="24"/>
          <w:szCs w:val="24"/>
        </w:rPr>
        <w:t>甲方支付合同总价款的</w:t>
      </w:r>
      <w:r>
        <w:rPr>
          <w:rFonts w:hint="eastAsia" w:ascii="Times New Roman" w:hAnsi="Times New Roman" w:eastAsia="宋体" w:cs="Times New Roman"/>
          <w:kern w:val="2"/>
          <w:sz w:val="24"/>
          <w:szCs w:val="24"/>
          <w:u w:val="none"/>
        </w:rPr>
        <w:t>60％</w:t>
      </w:r>
      <w:r>
        <w:rPr>
          <w:rFonts w:hint="eastAsia" w:ascii="Times New Roman" w:hAnsi="Times New Roman" w:eastAsia="宋体" w:cs="Times New Roman"/>
          <w:kern w:val="2"/>
          <w:sz w:val="24"/>
          <w:szCs w:val="24"/>
        </w:rPr>
        <w:t>；安装</w:t>
      </w:r>
      <w:r>
        <w:rPr>
          <w:rFonts w:hint="eastAsia" w:ascii="Times New Roman" w:hAnsi="Times New Roman" w:eastAsia="宋体" w:cs="Times New Roman"/>
          <w:b/>
          <w:bCs/>
          <w:kern w:val="2"/>
          <w:sz w:val="24"/>
          <w:szCs w:val="24"/>
        </w:rPr>
        <w:t>调试合格后测试完成无质量问题</w:t>
      </w:r>
      <w:r>
        <w:rPr>
          <w:rFonts w:hint="eastAsia" w:ascii="Times New Roman" w:hAnsi="Times New Roman" w:eastAsia="宋体" w:cs="Times New Roman"/>
          <w:kern w:val="2"/>
          <w:sz w:val="24"/>
          <w:szCs w:val="24"/>
        </w:rPr>
        <w:t>甲方支付合同总价款的</w:t>
      </w:r>
      <w:r>
        <w:rPr>
          <w:rFonts w:hint="eastAsia" w:ascii="Times New Roman" w:hAnsi="Times New Roman" w:eastAsia="宋体" w:cs="Times New Roman"/>
          <w:kern w:val="2"/>
          <w:sz w:val="24"/>
          <w:szCs w:val="24"/>
          <w:lang w:val="en-US" w:eastAsia="zh-CN"/>
        </w:rPr>
        <w:t>4</w:t>
      </w:r>
      <w:r>
        <w:rPr>
          <w:rFonts w:hint="eastAsia" w:ascii="Times New Roman" w:hAnsi="Times New Roman" w:eastAsia="宋体" w:cs="Times New Roman"/>
          <w:kern w:val="2"/>
          <w:sz w:val="24"/>
          <w:szCs w:val="24"/>
        </w:rPr>
        <w:t>0%。</w:t>
      </w:r>
    </w:p>
    <w:p>
      <w:pPr>
        <w:spacing w:line="400" w:lineRule="exact"/>
        <w:ind w:firstLine="720"/>
        <w:rPr>
          <w:rFonts w:asciiTheme="minorEastAsia" w:hAnsiTheme="minorEastAsia"/>
          <w:sz w:val="24"/>
        </w:rPr>
      </w:pPr>
      <w:r>
        <w:rPr>
          <w:rFonts w:hint="eastAsia" w:asciiTheme="minorEastAsia" w:hAnsiTheme="minorEastAsia"/>
          <w:sz w:val="24"/>
        </w:rPr>
        <w:t>招标人：河北建工集团有限责任公司设计研究院</w:t>
      </w:r>
    </w:p>
    <w:p>
      <w:pPr>
        <w:spacing w:line="400" w:lineRule="exact"/>
        <w:ind w:firstLine="720"/>
        <w:rPr>
          <w:rFonts w:asciiTheme="minorEastAsia" w:hAnsiTheme="minorEastAsia"/>
          <w:sz w:val="24"/>
        </w:rPr>
      </w:pPr>
      <w:r>
        <w:rPr>
          <w:rFonts w:hint="eastAsia" w:asciiTheme="minorEastAsia" w:hAnsiTheme="minorEastAsia"/>
          <w:sz w:val="24"/>
        </w:rPr>
        <w:t>地  址：石家庄市新华区</w:t>
      </w:r>
      <w:r>
        <w:rPr>
          <w:rFonts w:asciiTheme="minorEastAsia" w:hAnsiTheme="minorEastAsia"/>
          <w:sz w:val="24"/>
        </w:rPr>
        <w:t>石获南路66号建瓴嘉苑A座12F</w:t>
      </w:r>
      <w:r>
        <w:rPr>
          <w:rFonts w:hint="eastAsia" w:asciiTheme="minorEastAsia" w:hAnsiTheme="minorEastAsia"/>
          <w:sz w:val="24"/>
          <w:lang w:val="en-US" w:eastAsia="zh-CN"/>
        </w:rPr>
        <w:t xml:space="preserve">  </w:t>
      </w:r>
      <w:r>
        <w:rPr>
          <w:rFonts w:hint="eastAsia" w:asciiTheme="minorEastAsia" w:hAnsiTheme="minorEastAsia"/>
          <w:sz w:val="24"/>
        </w:rPr>
        <w:t>邮编：050051</w:t>
      </w:r>
    </w:p>
    <w:p>
      <w:pPr>
        <w:spacing w:line="400" w:lineRule="exact"/>
        <w:ind w:firstLine="720"/>
        <w:rPr>
          <w:rFonts w:asciiTheme="minorEastAsia" w:hAnsiTheme="minorEastAsia"/>
          <w:sz w:val="24"/>
        </w:rPr>
      </w:pPr>
      <w:r>
        <w:rPr>
          <w:rFonts w:hint="eastAsia" w:asciiTheme="minorEastAsia" w:hAnsiTheme="minorEastAsia"/>
          <w:b/>
          <w:bCs/>
          <w:sz w:val="24"/>
          <w:lang w:val="en-US" w:eastAsia="zh-CN"/>
        </w:rPr>
        <w:t>项目方</w:t>
      </w:r>
      <w:r>
        <w:rPr>
          <w:rFonts w:hint="eastAsia" w:asciiTheme="minorEastAsia" w:hAnsiTheme="minorEastAsia"/>
          <w:b/>
          <w:bCs/>
          <w:sz w:val="24"/>
        </w:rPr>
        <w:t>联系人：</w:t>
      </w:r>
      <w:r>
        <w:rPr>
          <w:rFonts w:hint="eastAsia" w:asciiTheme="minorEastAsia" w:hAnsiTheme="minorEastAsia"/>
          <w:b/>
          <w:bCs/>
          <w:sz w:val="24"/>
          <w:lang w:val="en-US" w:eastAsia="zh-CN"/>
        </w:rPr>
        <w:t xml:space="preserve">   </w:t>
      </w:r>
      <w:r>
        <w:rPr>
          <w:rFonts w:hint="eastAsia" w:ascii="宋体" w:hAnsi="宋体" w:eastAsia="宋体" w:cs="Times New Roman"/>
          <w:b/>
          <w:bCs/>
          <w:color w:val="000000"/>
          <w:kern w:val="2"/>
          <w:sz w:val="21"/>
        </w:rPr>
        <w:t>杨阳</w:t>
      </w:r>
      <w:r>
        <w:rPr>
          <w:rFonts w:hint="eastAsia" w:ascii="宋体" w:hAnsi="宋体" w:eastAsia="宋体" w:cs="Times New Roman"/>
          <w:b/>
          <w:bCs/>
          <w:color w:val="000000"/>
          <w:kern w:val="2"/>
          <w:sz w:val="21"/>
          <w:lang w:val="en-US" w:eastAsia="zh-CN"/>
        </w:rPr>
        <w:t xml:space="preserve">  </w:t>
      </w:r>
      <w:r>
        <w:rPr>
          <w:rFonts w:hint="eastAsia" w:asciiTheme="minorEastAsia" w:hAnsiTheme="minorEastAsia"/>
          <w:b/>
          <w:bCs/>
          <w:sz w:val="24"/>
        </w:rPr>
        <w:t>电话：</w:t>
      </w:r>
      <w:r>
        <w:rPr>
          <w:rFonts w:hint="eastAsia" w:ascii="宋体" w:hAnsi="宋体" w:eastAsia="宋体" w:cs="宋体"/>
          <w:b/>
          <w:bCs/>
          <w:color w:val="000000"/>
          <w:kern w:val="2"/>
          <w:sz w:val="21"/>
        </w:rPr>
        <w:t xml:space="preserve">18649144811 </w:t>
      </w:r>
      <w:r>
        <w:rPr>
          <w:rFonts w:hint="eastAsia" w:asciiTheme="minorEastAsia" w:hAnsiTheme="minorEastAsia"/>
          <w:sz w:val="24"/>
        </w:rPr>
        <w:t>E-mail：450588200@qq.com</w:t>
      </w:r>
    </w:p>
    <w:p>
      <w:pPr>
        <w:tabs>
          <w:tab w:val="left" w:pos="1176"/>
        </w:tabs>
        <w:ind w:left="720"/>
        <w:rPr>
          <w:rFonts w:hint="default" w:asciiTheme="minorEastAsia" w:hAnsiTheme="minorEastAsia" w:eastAsiaTheme="minorEastAsia"/>
          <w:b/>
          <w:bCs/>
          <w:sz w:val="24"/>
          <w:lang w:val="en-US" w:eastAsia="zh-CN"/>
        </w:rPr>
      </w:pPr>
      <w:r>
        <w:rPr>
          <w:rFonts w:hint="eastAsia" w:asciiTheme="minorEastAsia" w:hAnsiTheme="minorEastAsia"/>
          <w:b/>
          <w:bCs/>
          <w:sz w:val="24"/>
          <w:lang w:val="en-US" w:eastAsia="zh-CN"/>
        </w:rPr>
        <w:t>中采网平台联系人：</w:t>
      </w:r>
      <w:r>
        <w:rPr>
          <w:rFonts w:hint="eastAsia" w:asciiTheme="minorEastAsia" w:hAnsiTheme="minorEastAsia"/>
          <w:sz w:val="24"/>
          <w:lang w:val="en-US" w:eastAsia="zh-CN"/>
        </w:rPr>
        <w:t xml:space="preserve"> </w:t>
      </w:r>
      <w:r>
        <w:rPr>
          <w:rFonts w:hint="eastAsia" w:asciiTheme="minorEastAsia" w:hAnsiTheme="minorEastAsia"/>
          <w:b/>
          <w:bCs/>
          <w:sz w:val="24"/>
          <w:lang w:val="en-US" w:eastAsia="zh-CN"/>
        </w:rPr>
        <w:t>昝叙 电话：15230800681</w:t>
      </w:r>
    </w:p>
    <w:p>
      <w:pPr>
        <w:rPr>
          <w:rFonts w:asciiTheme="minorEastAsia" w:hAnsiTheme="minorEastAsia"/>
          <w:sz w:val="44"/>
        </w:rPr>
      </w:pPr>
      <w:bookmarkStart w:id="5" w:name="_Toc249329256"/>
      <w:bookmarkStart w:id="6" w:name="_Toc249322063"/>
      <w:bookmarkStart w:id="7" w:name="_Toc249321968"/>
      <w:bookmarkStart w:id="8" w:name="_Toc249321820"/>
      <w:bookmarkStart w:id="9" w:name="_Toc249266160"/>
      <w:bookmarkStart w:id="10" w:name="_Toc249329085"/>
    </w:p>
    <w:p>
      <w:pPr>
        <w:spacing w:line="360" w:lineRule="auto"/>
        <w:jc w:val="center"/>
        <w:outlineLvl w:val="0"/>
        <w:rPr>
          <w:rFonts w:hint="eastAsia" w:asciiTheme="minorEastAsia" w:hAnsiTheme="minorEastAsia"/>
          <w:sz w:val="44"/>
        </w:rPr>
      </w:pPr>
    </w:p>
    <w:p>
      <w:pPr>
        <w:spacing w:line="360" w:lineRule="auto"/>
        <w:jc w:val="center"/>
        <w:outlineLvl w:val="0"/>
        <w:rPr>
          <w:rFonts w:asciiTheme="minorEastAsia" w:hAnsiTheme="minorEastAsia"/>
          <w:sz w:val="44"/>
        </w:rPr>
      </w:pPr>
      <w:r>
        <w:rPr>
          <w:rFonts w:hint="eastAsia" w:asciiTheme="minorEastAsia" w:hAnsiTheme="minorEastAsia"/>
          <w:sz w:val="44"/>
        </w:rPr>
        <w:t>第二卷商务部分</w:t>
      </w:r>
      <w:bookmarkEnd w:id="5"/>
      <w:bookmarkEnd w:id="6"/>
      <w:bookmarkEnd w:id="7"/>
      <w:bookmarkEnd w:id="8"/>
      <w:bookmarkEnd w:id="9"/>
      <w:bookmarkEnd w:id="10"/>
    </w:p>
    <w:p>
      <w:pPr>
        <w:pStyle w:val="55"/>
        <w:spacing w:line="520" w:lineRule="exact"/>
        <w:rPr>
          <w:rFonts w:asciiTheme="minorEastAsia" w:hAnsiTheme="minorEastAsia" w:eastAsiaTheme="minorEastAsia"/>
        </w:rPr>
      </w:pPr>
      <w:bookmarkStart w:id="11" w:name="_Toc249266161"/>
      <w:bookmarkStart w:id="12" w:name="_Toc249322064"/>
      <w:bookmarkStart w:id="13" w:name="_Toc249321821"/>
      <w:bookmarkStart w:id="14" w:name="_Toc249321969"/>
      <w:bookmarkStart w:id="15" w:name="_Toc164155923"/>
      <w:bookmarkStart w:id="16" w:name="_Toc164138381"/>
      <w:bookmarkStart w:id="17" w:name="_Toc164155665"/>
      <w:bookmarkStart w:id="18" w:name="_Toc164062649"/>
      <w:bookmarkStart w:id="19" w:name="_Toc164158477"/>
      <w:bookmarkStart w:id="20" w:name="_Toc249328979"/>
      <w:bookmarkStart w:id="21" w:name="_Toc249329257"/>
      <w:bookmarkStart w:id="22" w:name="_Toc249329086"/>
      <w:r>
        <w:rPr>
          <w:rFonts w:hint="eastAsia" w:asciiTheme="minorEastAsia" w:hAnsiTheme="minorEastAsia" w:eastAsiaTheme="minorEastAsia"/>
        </w:rPr>
        <w:t>定义</w:t>
      </w:r>
      <w:bookmarkEnd w:id="11"/>
      <w:bookmarkEnd w:id="12"/>
      <w:bookmarkEnd w:id="13"/>
      <w:bookmarkEnd w:id="14"/>
      <w:bookmarkEnd w:id="15"/>
      <w:bookmarkEnd w:id="16"/>
      <w:bookmarkEnd w:id="17"/>
      <w:bookmarkEnd w:id="18"/>
      <w:bookmarkEnd w:id="19"/>
      <w:bookmarkEnd w:id="20"/>
      <w:bookmarkEnd w:id="21"/>
      <w:bookmarkEnd w:id="22"/>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出资方：自有资金。</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招标人：河北建工集团有限责任公司。</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投标人：符合本次招标所规定的相应资质要求，收到投标邀请的供应商均可投标。</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评标委员会：由招标人按一定的程序和要求选择的，具有一定资质的专家和有关单位人员组成，负责具体评标活动的机构。</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招标机构：无。</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监标人：由招标人委托纪律监察部门、组织或机构，负责开标、评标的监督工作。</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中标候选人：经过评标委员会详细评定，标明了顺序的供进一步在其中确定中标人的首选中标候选人和备选中标候选人。</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中标人：经过评标而选定的进行合同谈判的中标候选人。</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项目验收：项目实施结束后，经评审达到招标文件及合同规定的功能、技术要求和性能指标之后所进行的验收。</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质量保证期：项目验收合格后的一年为质量保证期，设备按实际保修时间计算，卖方负责纠正或清除合同设备、软件及系统等出现的缺陷。</w:t>
      </w:r>
    </w:p>
    <w:p>
      <w:pPr>
        <w:numPr>
          <w:ilvl w:val="1"/>
          <w:numId w:val="7"/>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在项目实施期和质量保质期内，卖方负责免费进行设备升级。</w:t>
      </w:r>
    </w:p>
    <w:p>
      <w:pPr>
        <w:pStyle w:val="55"/>
        <w:spacing w:line="520" w:lineRule="exact"/>
        <w:rPr>
          <w:rFonts w:asciiTheme="minorEastAsia" w:hAnsiTheme="minorEastAsia" w:eastAsiaTheme="minorEastAsia"/>
        </w:rPr>
      </w:pPr>
      <w:bookmarkStart w:id="23" w:name="_Toc164158481"/>
      <w:bookmarkStart w:id="24" w:name="_Toc164155927"/>
      <w:bookmarkStart w:id="25" w:name="_Toc249329258"/>
      <w:bookmarkStart w:id="26" w:name="_Toc249322065"/>
      <w:bookmarkStart w:id="27" w:name="_Toc70412924"/>
      <w:bookmarkStart w:id="28" w:name="_Toc164062653"/>
      <w:bookmarkStart w:id="29" w:name="_Toc249321822"/>
      <w:bookmarkStart w:id="30" w:name="_Toc249328980"/>
      <w:bookmarkStart w:id="31" w:name="_Toc249266162"/>
      <w:bookmarkStart w:id="32" w:name="_Toc249321970"/>
      <w:bookmarkStart w:id="33" w:name="_Toc164155669"/>
      <w:bookmarkStart w:id="34" w:name="_Toc530498344"/>
      <w:bookmarkStart w:id="35" w:name="_Toc164138385"/>
      <w:bookmarkStart w:id="36" w:name="_Toc249329087"/>
      <w:bookmarkStart w:id="37" w:name="_Toc530292185"/>
      <w:r>
        <w:rPr>
          <w:rFonts w:hint="eastAsia" w:asciiTheme="minorEastAsia" w:hAnsiTheme="minorEastAsia" w:eastAsiaTheme="minorEastAsia"/>
        </w:rPr>
        <w:t>招标范围</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77"/>
        <w:numPr>
          <w:ilvl w:val="0"/>
          <w:numId w:val="7"/>
        </w:numPr>
        <w:ind w:firstLineChars="0"/>
        <w:rPr>
          <w:rFonts w:asciiTheme="minorEastAsia" w:hAnsiTheme="minorEastAsia"/>
          <w:vanish/>
          <w:sz w:val="24"/>
        </w:rPr>
      </w:pPr>
    </w:p>
    <w:p>
      <w:pPr>
        <w:ind w:firstLine="480" w:firstLineChars="200"/>
        <w:rPr>
          <w:rFonts w:asciiTheme="minorEastAsia" w:hAnsiTheme="minorEastAsia"/>
          <w:color w:val="0000FF"/>
          <w:sz w:val="24"/>
        </w:rPr>
      </w:pPr>
      <w:r>
        <w:rPr>
          <w:rFonts w:hint="eastAsia" w:asciiTheme="minorEastAsia" w:hAnsiTheme="minorEastAsia"/>
          <w:sz w:val="24"/>
        </w:rPr>
        <w:t>招标范围：服务器以及其他相关配置的采购、供货、安装、调试及技术服务。</w:t>
      </w:r>
    </w:p>
    <w:p>
      <w:pPr>
        <w:ind w:firstLine="480" w:firstLineChars="200"/>
        <w:rPr>
          <w:rFonts w:asciiTheme="minorEastAsia" w:hAnsiTheme="minorEastAsia"/>
          <w:sz w:val="24"/>
        </w:rPr>
      </w:pPr>
      <w:r>
        <w:rPr>
          <w:rFonts w:hint="eastAsia" w:asciiTheme="minorEastAsia" w:hAnsiTheme="minorEastAsia"/>
          <w:sz w:val="24"/>
        </w:rPr>
        <w:t>相关招标系统的具体内容与价格表详见第三卷《技术规范书》和第五卷《附件》。</w:t>
      </w:r>
    </w:p>
    <w:p>
      <w:pPr>
        <w:pStyle w:val="55"/>
        <w:spacing w:line="520" w:lineRule="exact"/>
        <w:rPr>
          <w:rFonts w:asciiTheme="minorEastAsia" w:hAnsiTheme="minorEastAsia" w:eastAsiaTheme="minorEastAsia"/>
        </w:rPr>
      </w:pPr>
      <w:r>
        <w:rPr>
          <w:rFonts w:hint="eastAsia" w:asciiTheme="minorEastAsia" w:hAnsiTheme="minorEastAsia" w:eastAsiaTheme="minorEastAsia"/>
        </w:rPr>
        <w:t>投标人</w:t>
      </w:r>
      <w:r>
        <w:rPr>
          <w:rFonts w:asciiTheme="minorEastAsia" w:hAnsiTheme="minorEastAsia" w:eastAsiaTheme="minorEastAsia"/>
        </w:rPr>
        <w:t>资质</w:t>
      </w:r>
    </w:p>
    <w:p>
      <w:pPr>
        <w:numPr>
          <w:ilvl w:val="1"/>
          <w:numId w:val="8"/>
        </w:numPr>
        <w:tabs>
          <w:tab w:val="left" w:pos="630"/>
          <w:tab w:val="clear" w:pos="567"/>
        </w:tabs>
        <w:ind w:left="624" w:hanging="624" w:hangingChars="260"/>
        <w:rPr>
          <w:rFonts w:asciiTheme="minorEastAsia" w:hAnsiTheme="minorEastAsia"/>
          <w:sz w:val="24"/>
        </w:rPr>
      </w:pPr>
      <w:bookmarkStart w:id="38" w:name="OLE_LINK4"/>
      <w:bookmarkStart w:id="39" w:name="OLE_LINK3"/>
      <w:r>
        <w:rPr>
          <w:rFonts w:hint="eastAsia" w:asciiTheme="minorEastAsia" w:hAnsiTheme="minorEastAsia"/>
          <w:sz w:val="24"/>
        </w:rPr>
        <w:t>具有法人资格，注册资金不低于100万元，有独立签订合同的能力。</w:t>
      </w:r>
    </w:p>
    <w:p>
      <w:pPr>
        <w:numPr>
          <w:ilvl w:val="1"/>
          <w:numId w:val="8"/>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近三年内没有违规、违法行为及被处罚记录。</w:t>
      </w:r>
    </w:p>
    <w:p>
      <w:pPr>
        <w:numPr>
          <w:ilvl w:val="1"/>
          <w:numId w:val="8"/>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没有处于责令停业、投标资格被取消、财产被接管、冻结、破产或重大法律纠纷等状态。</w:t>
      </w:r>
    </w:p>
    <w:p>
      <w:pPr>
        <w:numPr>
          <w:ilvl w:val="1"/>
          <w:numId w:val="8"/>
        </w:numPr>
        <w:tabs>
          <w:tab w:val="left" w:pos="630"/>
          <w:tab w:val="clear" w:pos="567"/>
        </w:tabs>
        <w:ind w:left="624" w:hanging="624" w:hangingChars="260"/>
        <w:rPr>
          <w:rFonts w:asciiTheme="minorEastAsia" w:hAnsiTheme="minorEastAsia"/>
          <w:sz w:val="24"/>
        </w:rPr>
      </w:pPr>
      <w:r>
        <w:rPr>
          <w:rFonts w:hint="eastAsia" w:asciiTheme="minorEastAsia" w:hAnsiTheme="minorEastAsia"/>
          <w:sz w:val="24"/>
        </w:rPr>
        <w:t>投标方在专业技术、人员组织、业绩经验等方面具有相当于本次标的规模的</w:t>
      </w:r>
      <w:bookmarkStart w:id="40" w:name="_Toc180401891"/>
      <w:r>
        <w:rPr>
          <w:rFonts w:hint="eastAsia" w:asciiTheme="minorEastAsia" w:hAnsiTheme="minorEastAsia"/>
          <w:sz w:val="24"/>
        </w:rPr>
        <w:t>系统实施能力</w:t>
      </w:r>
      <w:bookmarkEnd w:id="40"/>
      <w:r>
        <w:rPr>
          <w:rFonts w:hint="eastAsia" w:asciiTheme="minorEastAsia" w:hAnsiTheme="minorEastAsia"/>
          <w:sz w:val="24"/>
        </w:rPr>
        <w:t>。</w:t>
      </w:r>
    </w:p>
    <w:bookmarkEnd w:id="38"/>
    <w:bookmarkEnd w:id="39"/>
    <w:p>
      <w:pPr>
        <w:pStyle w:val="55"/>
        <w:spacing w:line="520" w:lineRule="exact"/>
        <w:rPr>
          <w:rFonts w:asciiTheme="minorEastAsia" w:hAnsiTheme="minorEastAsia" w:eastAsiaTheme="minorEastAsia"/>
        </w:rPr>
      </w:pPr>
      <w:bookmarkStart w:id="41" w:name="_Toc249266164"/>
      <w:bookmarkStart w:id="42" w:name="_Toc164062655"/>
      <w:bookmarkStart w:id="43" w:name="_Toc164158483"/>
      <w:bookmarkStart w:id="44" w:name="_Toc70412926"/>
      <w:bookmarkStart w:id="45" w:name="_Toc249321972"/>
      <w:bookmarkStart w:id="46" w:name="_Toc249321824"/>
      <w:bookmarkStart w:id="47" w:name="_Toc530292187"/>
      <w:bookmarkStart w:id="48" w:name="_Toc249329260"/>
      <w:bookmarkStart w:id="49" w:name="_Toc249329089"/>
      <w:bookmarkStart w:id="50" w:name="_Toc249322067"/>
      <w:bookmarkStart w:id="51" w:name="_Toc249328982"/>
      <w:bookmarkStart w:id="52" w:name="_Toc530498346"/>
      <w:bookmarkStart w:id="53" w:name="_Toc164155929"/>
      <w:bookmarkStart w:id="54" w:name="_Toc164138387"/>
      <w:bookmarkStart w:id="55" w:name="_Toc164155671"/>
      <w:r>
        <w:rPr>
          <w:rFonts w:hint="eastAsia" w:asciiTheme="minorEastAsia" w:hAnsiTheme="minorEastAsia" w:eastAsiaTheme="minorEastAsia"/>
        </w:rPr>
        <w:t>招标文件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numPr>
          <w:ilvl w:val="1"/>
          <w:numId w:val="9"/>
        </w:numPr>
        <w:ind w:left="626" w:hanging="626" w:hangingChars="260"/>
        <w:rPr>
          <w:rFonts w:asciiTheme="minorEastAsia" w:hAnsiTheme="minorEastAsia"/>
          <w:sz w:val="24"/>
        </w:rPr>
      </w:pPr>
      <w:r>
        <w:rPr>
          <w:rFonts w:hint="eastAsia" w:asciiTheme="minorEastAsia" w:hAnsiTheme="minorEastAsia"/>
          <w:b/>
          <w:sz w:val="24"/>
        </w:rPr>
        <w:t>招标文件的组成</w:t>
      </w:r>
    </w:p>
    <w:p>
      <w:pPr>
        <w:numPr>
          <w:ilvl w:val="2"/>
          <w:numId w:val="10"/>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招标文件由第一卷《投标邀请》、第二卷《商务部分》、第三卷《技术规范书》、第四卷《评标办法》、第五卷《附件》组成。</w:t>
      </w:r>
    </w:p>
    <w:p>
      <w:pPr>
        <w:numPr>
          <w:ilvl w:val="2"/>
          <w:numId w:val="10"/>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招标人所作的一切有效的书面通知、会议纪要、澄清、修改及补充，都是招标文件不可分割的部分。</w:t>
      </w:r>
      <w:bookmarkStart w:id="56" w:name="_Toc28340683"/>
      <w:bookmarkStart w:id="57" w:name="_Toc530498348"/>
      <w:bookmarkStart w:id="58" w:name="_Toc530292189"/>
      <w:bookmarkStart w:id="59" w:name="_Toc530498350"/>
      <w:bookmarkStart w:id="60" w:name="_Toc530292191"/>
    </w:p>
    <w:p>
      <w:pPr>
        <w:numPr>
          <w:ilvl w:val="2"/>
          <w:numId w:val="10"/>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投标人应认真阅读招标文件中所有的事项、格式、条款和技术规格等。投标人没有按照招标文件要求提交全部资料，或者投标人没有对招标文件在各方面都做出实质性响应是投标人的风险，并可能导致其投标被拒绝。</w:t>
      </w:r>
    </w:p>
    <w:bookmarkEnd w:id="56"/>
    <w:bookmarkEnd w:id="57"/>
    <w:bookmarkEnd w:id="58"/>
    <w:p>
      <w:pPr>
        <w:numPr>
          <w:ilvl w:val="1"/>
          <w:numId w:val="9"/>
        </w:numPr>
        <w:ind w:left="626" w:hanging="626" w:hangingChars="260"/>
        <w:rPr>
          <w:rFonts w:asciiTheme="minorEastAsia" w:hAnsiTheme="minorEastAsia"/>
          <w:sz w:val="24"/>
        </w:rPr>
      </w:pPr>
      <w:r>
        <w:rPr>
          <w:rFonts w:hint="eastAsia" w:asciiTheme="minorEastAsia" w:hAnsiTheme="minorEastAsia"/>
          <w:b/>
          <w:sz w:val="24"/>
        </w:rPr>
        <w:t>招标文件的澄清</w:t>
      </w:r>
    </w:p>
    <w:p>
      <w:pPr>
        <w:numPr>
          <w:ilvl w:val="2"/>
          <w:numId w:val="11"/>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招标文件的澄清采用书面形式进行。</w:t>
      </w:r>
      <w:bookmarkStart w:id="61" w:name="_Toc28340684"/>
      <w:bookmarkStart w:id="62" w:name="_Toc530498349"/>
      <w:bookmarkStart w:id="63" w:name="_Toc530292190"/>
    </w:p>
    <w:p>
      <w:pPr>
        <w:numPr>
          <w:ilvl w:val="2"/>
          <w:numId w:val="11"/>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任何要求对招标文件进行澄清的潜在投标人，均应以书面形式通知招标机构。招标机构对其在投标截止日期3个工作日以前收到的对招标文件的澄清要求均以书面形式予以答复，同时将书面答复发给每个购买招标文件的潜在投标人(答复中不包括问题的来源)。</w:t>
      </w:r>
    </w:p>
    <w:bookmarkEnd w:id="61"/>
    <w:bookmarkEnd w:id="62"/>
    <w:bookmarkEnd w:id="63"/>
    <w:p>
      <w:pPr>
        <w:numPr>
          <w:ilvl w:val="1"/>
          <w:numId w:val="9"/>
        </w:numPr>
        <w:ind w:left="626" w:hanging="626" w:hangingChars="260"/>
        <w:rPr>
          <w:rFonts w:asciiTheme="minorEastAsia" w:hAnsiTheme="minorEastAsia"/>
          <w:sz w:val="24"/>
        </w:rPr>
      </w:pPr>
      <w:r>
        <w:rPr>
          <w:rFonts w:hint="eastAsia" w:asciiTheme="minorEastAsia" w:hAnsiTheme="minorEastAsia"/>
          <w:b/>
          <w:sz w:val="24"/>
        </w:rPr>
        <w:t>招标文件的修改</w:t>
      </w:r>
    </w:p>
    <w:p>
      <w:pPr>
        <w:numPr>
          <w:ilvl w:val="2"/>
          <w:numId w:val="12"/>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在投标截止期前，无论出于何种原因，招标人可主动地或在解答潜在投标人提出的澄清问题时对招标文件进行修改。</w:t>
      </w:r>
    </w:p>
    <w:p>
      <w:pPr>
        <w:numPr>
          <w:ilvl w:val="2"/>
          <w:numId w:val="12"/>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招标文件的修改是招标文件的组成部分，将以书面形式通知所有购买招标文件的潜在投标人，并对潜在投标人具有约束力。潜在投标人在收到上述通知后，应立即以书面形式向招标机构和招标人确认。</w:t>
      </w:r>
    </w:p>
    <w:p>
      <w:pPr>
        <w:numPr>
          <w:ilvl w:val="2"/>
          <w:numId w:val="12"/>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为使投标人在准备投标文件时有合理的时间考虑对招标文件的修改部分，招标人可以酌情延长投标截止日期。</w:t>
      </w:r>
    </w:p>
    <w:p>
      <w:pPr>
        <w:pStyle w:val="55"/>
        <w:spacing w:line="520" w:lineRule="exact"/>
        <w:rPr>
          <w:rFonts w:asciiTheme="minorEastAsia" w:hAnsiTheme="minorEastAsia" w:eastAsiaTheme="minorEastAsia"/>
        </w:rPr>
      </w:pPr>
      <w:bookmarkStart w:id="64" w:name="_Toc249321973"/>
      <w:bookmarkStart w:id="65" w:name="_Toc249322068"/>
      <w:bookmarkStart w:id="66" w:name="_Toc70412930"/>
      <w:bookmarkStart w:id="67" w:name="_Toc249329261"/>
      <w:bookmarkStart w:id="68" w:name="_Toc249266165"/>
      <w:bookmarkStart w:id="69" w:name="_Toc164155672"/>
      <w:bookmarkStart w:id="70" w:name="_Toc164158484"/>
      <w:bookmarkStart w:id="71" w:name="_Toc164062659"/>
      <w:bookmarkStart w:id="72" w:name="_Toc249328983"/>
      <w:bookmarkStart w:id="73" w:name="_Toc249329090"/>
      <w:bookmarkStart w:id="74" w:name="_Toc249321825"/>
      <w:bookmarkStart w:id="75" w:name="_Toc164155930"/>
      <w:bookmarkStart w:id="76" w:name="_Toc164138391"/>
      <w:r>
        <w:rPr>
          <w:rFonts w:hint="eastAsia" w:asciiTheme="minorEastAsia" w:hAnsiTheme="minorEastAsia" w:eastAsiaTheme="minorEastAsia"/>
        </w:rPr>
        <w:t>投标文件</w:t>
      </w:r>
      <w:bookmarkEnd w:id="59"/>
      <w:bookmarkEnd w:id="60"/>
      <w:bookmarkEnd w:id="64"/>
      <w:bookmarkEnd w:id="65"/>
      <w:bookmarkEnd w:id="66"/>
      <w:bookmarkEnd w:id="67"/>
      <w:bookmarkEnd w:id="68"/>
      <w:bookmarkEnd w:id="69"/>
      <w:bookmarkEnd w:id="70"/>
      <w:bookmarkEnd w:id="71"/>
      <w:bookmarkEnd w:id="72"/>
      <w:bookmarkEnd w:id="73"/>
      <w:bookmarkEnd w:id="74"/>
      <w:bookmarkEnd w:id="75"/>
      <w:bookmarkEnd w:id="76"/>
    </w:p>
    <w:p>
      <w:pPr>
        <w:ind w:firstLine="480" w:firstLineChars="200"/>
        <w:rPr>
          <w:rFonts w:asciiTheme="minorEastAsia" w:hAnsiTheme="minorEastAsia"/>
          <w:sz w:val="24"/>
        </w:rPr>
      </w:pPr>
      <w:r>
        <w:rPr>
          <w:rFonts w:hint="eastAsia" w:asciiTheme="minorEastAsia" w:hAnsiTheme="minorEastAsia"/>
          <w:sz w:val="24"/>
        </w:rPr>
        <w:t>投标文件应至少包含以下三个部分，投标人可以参考但并不限于以下格式撰写各部分的内容：</w:t>
      </w:r>
    </w:p>
    <w:p>
      <w:pPr>
        <w:numPr>
          <w:ilvl w:val="1"/>
          <w:numId w:val="13"/>
        </w:numPr>
        <w:ind w:left="626" w:hanging="626" w:hangingChars="260"/>
        <w:rPr>
          <w:rFonts w:asciiTheme="minorEastAsia" w:hAnsiTheme="minorEastAsia"/>
          <w:sz w:val="24"/>
        </w:rPr>
      </w:pPr>
      <w:r>
        <w:rPr>
          <w:rFonts w:hint="eastAsia" w:asciiTheme="minorEastAsia" w:hAnsiTheme="minorEastAsia"/>
          <w:b/>
          <w:sz w:val="24"/>
        </w:rPr>
        <w:t>商务部分</w:t>
      </w:r>
    </w:p>
    <w:p>
      <w:pPr>
        <w:numPr>
          <w:ilvl w:val="0"/>
          <w:numId w:val="14"/>
        </w:numPr>
        <w:rPr>
          <w:rFonts w:asciiTheme="minorEastAsia" w:hAnsiTheme="minorEastAsia"/>
          <w:sz w:val="24"/>
        </w:rPr>
      </w:pPr>
      <w:bookmarkStart w:id="77" w:name="_Toc121233698"/>
      <w:r>
        <w:rPr>
          <w:rFonts w:hint="eastAsia" w:asciiTheme="minorEastAsia" w:hAnsiTheme="minorEastAsia"/>
          <w:sz w:val="24"/>
        </w:rPr>
        <w:t>投标函</w:t>
      </w:r>
    </w:p>
    <w:bookmarkEnd w:id="77"/>
    <w:p>
      <w:pPr>
        <w:numPr>
          <w:ilvl w:val="0"/>
          <w:numId w:val="14"/>
        </w:numPr>
        <w:rPr>
          <w:rFonts w:asciiTheme="minorEastAsia" w:hAnsiTheme="minorEastAsia"/>
          <w:sz w:val="24"/>
        </w:rPr>
      </w:pPr>
      <w:r>
        <w:rPr>
          <w:rFonts w:asciiTheme="minorEastAsia" w:hAnsiTheme="minorEastAsia"/>
          <w:sz w:val="24"/>
        </w:rPr>
        <w:t>投标报价一览表</w:t>
      </w:r>
    </w:p>
    <w:p>
      <w:pPr>
        <w:numPr>
          <w:ilvl w:val="0"/>
          <w:numId w:val="14"/>
        </w:numPr>
        <w:rPr>
          <w:rFonts w:asciiTheme="minorEastAsia" w:hAnsiTheme="minorEastAsia"/>
          <w:sz w:val="24"/>
        </w:rPr>
      </w:pPr>
      <w:r>
        <w:rPr>
          <w:rFonts w:asciiTheme="minorEastAsia" w:hAnsiTheme="minorEastAsia"/>
          <w:sz w:val="24"/>
        </w:rPr>
        <w:t>投标分项报价表</w:t>
      </w:r>
    </w:p>
    <w:p>
      <w:pPr>
        <w:numPr>
          <w:ilvl w:val="0"/>
          <w:numId w:val="14"/>
        </w:numPr>
        <w:rPr>
          <w:rFonts w:asciiTheme="minorEastAsia" w:hAnsiTheme="minorEastAsia"/>
          <w:sz w:val="24"/>
        </w:rPr>
      </w:pPr>
      <w:r>
        <w:rPr>
          <w:rFonts w:asciiTheme="minorEastAsia" w:hAnsiTheme="minorEastAsia"/>
          <w:sz w:val="24"/>
        </w:rPr>
        <w:t>商务条款偏离表</w:t>
      </w:r>
    </w:p>
    <w:p>
      <w:pPr>
        <w:numPr>
          <w:ilvl w:val="0"/>
          <w:numId w:val="14"/>
        </w:numPr>
        <w:rPr>
          <w:rFonts w:asciiTheme="minorEastAsia" w:hAnsiTheme="minorEastAsia"/>
          <w:sz w:val="24"/>
        </w:rPr>
      </w:pPr>
      <w:bookmarkStart w:id="78" w:name="_Toc121233699"/>
      <w:r>
        <w:rPr>
          <w:rFonts w:asciiTheme="minorEastAsia" w:hAnsiTheme="minorEastAsia"/>
          <w:sz w:val="24"/>
        </w:rPr>
        <w:t>投标人法定代表人授权书</w:t>
      </w:r>
      <w:bookmarkEnd w:id="78"/>
    </w:p>
    <w:p>
      <w:pPr>
        <w:numPr>
          <w:ilvl w:val="0"/>
          <w:numId w:val="14"/>
        </w:numPr>
        <w:rPr>
          <w:rFonts w:asciiTheme="minorEastAsia" w:hAnsiTheme="minorEastAsia"/>
          <w:sz w:val="24"/>
        </w:rPr>
      </w:pPr>
      <w:r>
        <w:rPr>
          <w:rFonts w:hint="eastAsia" w:asciiTheme="minorEastAsia" w:hAnsiTheme="minorEastAsia"/>
          <w:sz w:val="24"/>
        </w:rPr>
        <w:t>投标人</w:t>
      </w:r>
      <w:r>
        <w:rPr>
          <w:rFonts w:asciiTheme="minorEastAsia" w:hAnsiTheme="minorEastAsia"/>
          <w:sz w:val="24"/>
        </w:rPr>
        <w:t>资格证明文件</w:t>
      </w:r>
      <w:r>
        <w:rPr>
          <w:rFonts w:hint="eastAsia" w:asciiTheme="minorEastAsia" w:hAnsiTheme="minorEastAsia"/>
          <w:sz w:val="24"/>
        </w:rPr>
        <w:t>投标人公司介绍（成立时间、员工人数等）</w:t>
      </w:r>
    </w:p>
    <w:p>
      <w:pPr>
        <w:numPr>
          <w:ilvl w:val="0"/>
          <w:numId w:val="14"/>
        </w:numPr>
        <w:rPr>
          <w:rFonts w:asciiTheme="minorEastAsia" w:hAnsiTheme="minorEastAsia"/>
          <w:sz w:val="24"/>
        </w:rPr>
      </w:pPr>
      <w:r>
        <w:rPr>
          <w:rFonts w:hint="eastAsia" w:asciiTheme="minorEastAsia" w:hAnsiTheme="minorEastAsia"/>
          <w:sz w:val="24"/>
        </w:rPr>
        <w:t>投标人</w:t>
      </w:r>
      <w:r>
        <w:rPr>
          <w:rFonts w:asciiTheme="minorEastAsia" w:hAnsiTheme="minorEastAsia"/>
          <w:sz w:val="24"/>
        </w:rPr>
        <w:t>资质、荣誉证书</w:t>
      </w:r>
    </w:p>
    <w:p>
      <w:pPr>
        <w:numPr>
          <w:ilvl w:val="0"/>
          <w:numId w:val="14"/>
        </w:numPr>
        <w:rPr>
          <w:rFonts w:asciiTheme="minorEastAsia" w:hAnsiTheme="minorEastAsia"/>
          <w:sz w:val="24"/>
        </w:rPr>
      </w:pPr>
      <w:bookmarkStart w:id="79" w:name="_Toc121233743"/>
      <w:r>
        <w:rPr>
          <w:rFonts w:hint="eastAsia" w:asciiTheme="minorEastAsia" w:hAnsiTheme="minorEastAsia"/>
          <w:sz w:val="24"/>
        </w:rPr>
        <w:t>项目实施人员安排</w:t>
      </w:r>
      <w:bookmarkEnd w:id="79"/>
    </w:p>
    <w:p>
      <w:pPr>
        <w:numPr>
          <w:ilvl w:val="0"/>
          <w:numId w:val="14"/>
        </w:numPr>
        <w:rPr>
          <w:rFonts w:asciiTheme="minorEastAsia" w:hAnsiTheme="minorEastAsia"/>
          <w:sz w:val="24"/>
        </w:rPr>
      </w:pPr>
      <w:r>
        <w:rPr>
          <w:rFonts w:hint="eastAsia" w:asciiTheme="minorEastAsia" w:hAnsiTheme="minorEastAsia"/>
          <w:sz w:val="24"/>
        </w:rPr>
        <w:t>投标人质量承诺书</w:t>
      </w:r>
    </w:p>
    <w:p>
      <w:pPr>
        <w:numPr>
          <w:ilvl w:val="0"/>
          <w:numId w:val="14"/>
        </w:numPr>
        <w:rPr>
          <w:rFonts w:asciiTheme="minorEastAsia" w:hAnsiTheme="minorEastAsia"/>
          <w:sz w:val="24"/>
        </w:rPr>
      </w:pPr>
      <w:r>
        <w:rPr>
          <w:rFonts w:hint="eastAsia" w:asciiTheme="minorEastAsia" w:hAnsiTheme="minorEastAsia"/>
          <w:sz w:val="24"/>
        </w:rPr>
        <w:t>投标人服务承诺书</w:t>
      </w:r>
    </w:p>
    <w:p>
      <w:pPr>
        <w:numPr>
          <w:ilvl w:val="1"/>
          <w:numId w:val="13"/>
        </w:numPr>
        <w:ind w:left="631" w:hanging="631" w:hangingChars="262"/>
        <w:rPr>
          <w:rFonts w:asciiTheme="minorEastAsia" w:hAnsiTheme="minorEastAsia"/>
          <w:sz w:val="24"/>
        </w:rPr>
      </w:pPr>
      <w:r>
        <w:rPr>
          <w:rFonts w:hint="eastAsia" w:asciiTheme="minorEastAsia" w:hAnsiTheme="minorEastAsia"/>
          <w:b/>
          <w:sz w:val="24"/>
        </w:rPr>
        <w:t>资质部分</w:t>
      </w:r>
    </w:p>
    <w:p>
      <w:pPr>
        <w:numPr>
          <w:ilvl w:val="0"/>
          <w:numId w:val="14"/>
        </w:numPr>
        <w:rPr>
          <w:rFonts w:asciiTheme="minorEastAsia" w:hAnsiTheme="minorEastAsia"/>
          <w:sz w:val="24"/>
        </w:rPr>
      </w:pPr>
      <w:r>
        <w:rPr>
          <w:rFonts w:hint="eastAsia" w:asciiTheme="minorEastAsia" w:hAnsiTheme="minorEastAsia"/>
          <w:sz w:val="24"/>
        </w:rPr>
        <w:t>法定代表人资格证明书</w:t>
      </w:r>
    </w:p>
    <w:p>
      <w:pPr>
        <w:numPr>
          <w:ilvl w:val="0"/>
          <w:numId w:val="14"/>
        </w:numPr>
        <w:rPr>
          <w:rFonts w:asciiTheme="minorEastAsia" w:hAnsiTheme="minorEastAsia"/>
          <w:sz w:val="24"/>
        </w:rPr>
      </w:pPr>
      <w:r>
        <w:rPr>
          <w:rFonts w:asciiTheme="minorEastAsia" w:hAnsiTheme="minorEastAsia"/>
          <w:sz w:val="24"/>
        </w:rPr>
        <w:t>法定代表人授权委托书</w:t>
      </w:r>
    </w:p>
    <w:p>
      <w:pPr>
        <w:numPr>
          <w:ilvl w:val="0"/>
          <w:numId w:val="14"/>
        </w:numPr>
        <w:rPr>
          <w:rFonts w:asciiTheme="minorEastAsia" w:hAnsiTheme="minorEastAsia"/>
          <w:sz w:val="24"/>
          <w:szCs w:val="24"/>
        </w:rPr>
      </w:pPr>
      <w:r>
        <w:rPr>
          <w:rFonts w:asciiTheme="minorEastAsia" w:hAnsiTheme="minorEastAsia"/>
          <w:bCs/>
          <w:sz w:val="24"/>
          <w:szCs w:val="24"/>
        </w:rPr>
        <w:t>投标资质证明文件</w:t>
      </w:r>
    </w:p>
    <w:p>
      <w:pPr>
        <w:numPr>
          <w:ilvl w:val="1"/>
          <w:numId w:val="13"/>
        </w:numPr>
        <w:ind w:left="631" w:hanging="631" w:hangingChars="262"/>
        <w:rPr>
          <w:rFonts w:asciiTheme="minorEastAsia" w:hAnsiTheme="minorEastAsia"/>
          <w:sz w:val="24"/>
        </w:rPr>
      </w:pPr>
      <w:r>
        <w:rPr>
          <w:rFonts w:hint="eastAsia" w:asciiTheme="minorEastAsia" w:hAnsiTheme="minorEastAsia"/>
          <w:b/>
          <w:sz w:val="24"/>
        </w:rPr>
        <w:t>技术部分</w:t>
      </w:r>
    </w:p>
    <w:p>
      <w:pPr>
        <w:ind w:firstLine="480" w:firstLineChars="200"/>
        <w:rPr>
          <w:rFonts w:asciiTheme="minorEastAsia" w:hAnsiTheme="minorEastAsia"/>
          <w:sz w:val="24"/>
        </w:rPr>
      </w:pPr>
      <w:r>
        <w:rPr>
          <w:rFonts w:hint="eastAsia" w:asciiTheme="minorEastAsia" w:hAnsiTheme="minorEastAsia"/>
          <w:sz w:val="24"/>
        </w:rPr>
        <w:t xml:space="preserve">投标人可以参考但并不限于以下格式撰写技术部分的内容： </w:t>
      </w:r>
    </w:p>
    <w:p>
      <w:pPr>
        <w:numPr>
          <w:ilvl w:val="0"/>
          <w:numId w:val="14"/>
        </w:numPr>
        <w:rPr>
          <w:rFonts w:asciiTheme="minorEastAsia" w:hAnsiTheme="minorEastAsia"/>
          <w:sz w:val="24"/>
        </w:rPr>
      </w:pPr>
      <w:r>
        <w:rPr>
          <w:rFonts w:hint="eastAsia" w:asciiTheme="minorEastAsia" w:hAnsiTheme="minorEastAsia"/>
          <w:sz w:val="24"/>
        </w:rPr>
        <w:t>技术规格偏离表</w:t>
      </w:r>
    </w:p>
    <w:p>
      <w:pPr>
        <w:numPr>
          <w:ilvl w:val="0"/>
          <w:numId w:val="14"/>
        </w:numPr>
        <w:rPr>
          <w:rFonts w:asciiTheme="minorEastAsia" w:hAnsiTheme="minorEastAsia"/>
          <w:sz w:val="24"/>
        </w:rPr>
      </w:pPr>
      <w:r>
        <w:rPr>
          <w:rFonts w:hint="eastAsia" w:asciiTheme="minorEastAsia" w:hAnsiTheme="minorEastAsia"/>
          <w:sz w:val="24"/>
        </w:rPr>
        <w:t>投标技术方案</w:t>
      </w:r>
    </w:p>
    <w:p>
      <w:pPr>
        <w:numPr>
          <w:ilvl w:val="0"/>
          <w:numId w:val="14"/>
        </w:numPr>
        <w:rPr>
          <w:rFonts w:asciiTheme="minorEastAsia" w:hAnsiTheme="minorEastAsia"/>
          <w:sz w:val="24"/>
          <w:szCs w:val="24"/>
        </w:rPr>
      </w:pPr>
      <w:r>
        <w:rPr>
          <w:rFonts w:asciiTheme="minorEastAsia" w:hAnsiTheme="minorEastAsia"/>
          <w:sz w:val="24"/>
          <w:szCs w:val="24"/>
        </w:rPr>
        <w:t>投标产品主要技术性能介绍及优势、特性等。</w:t>
      </w:r>
    </w:p>
    <w:p>
      <w:pPr>
        <w:numPr>
          <w:ilvl w:val="0"/>
          <w:numId w:val="14"/>
        </w:numPr>
        <w:rPr>
          <w:rFonts w:asciiTheme="minorEastAsia" w:hAnsiTheme="minorEastAsia"/>
          <w:b/>
          <w:sz w:val="28"/>
          <w:szCs w:val="28"/>
        </w:rPr>
      </w:pPr>
      <w:bookmarkStart w:id="80" w:name="_Toc120861335"/>
      <w:bookmarkStart w:id="81" w:name="_Toc121214923"/>
      <w:bookmarkStart w:id="82" w:name="_Toc121215768"/>
      <w:bookmarkStart w:id="83" w:name="_Toc120852063"/>
      <w:bookmarkStart w:id="84" w:name="_Toc115409142"/>
      <w:r>
        <w:rPr>
          <w:rFonts w:hint="eastAsia" w:asciiTheme="minorEastAsia" w:hAnsiTheme="minorEastAsia"/>
          <w:sz w:val="24"/>
        </w:rPr>
        <w:t>技术支持与</w:t>
      </w:r>
      <w:bookmarkEnd w:id="80"/>
      <w:bookmarkEnd w:id="81"/>
      <w:bookmarkEnd w:id="82"/>
      <w:bookmarkEnd w:id="83"/>
      <w:bookmarkEnd w:id="84"/>
      <w:r>
        <w:rPr>
          <w:rFonts w:hint="eastAsia" w:asciiTheme="minorEastAsia" w:hAnsiTheme="minorEastAsia"/>
          <w:sz w:val="24"/>
        </w:rPr>
        <w:t>售后服务方案</w:t>
      </w:r>
    </w:p>
    <w:p>
      <w:pPr>
        <w:numPr>
          <w:ilvl w:val="0"/>
          <w:numId w:val="14"/>
        </w:numPr>
        <w:rPr>
          <w:rFonts w:asciiTheme="minorEastAsia" w:hAnsiTheme="minorEastAsia"/>
          <w:sz w:val="24"/>
          <w:szCs w:val="24"/>
        </w:rPr>
      </w:pPr>
      <w:r>
        <w:rPr>
          <w:rFonts w:asciiTheme="minorEastAsia" w:hAnsiTheme="minorEastAsia"/>
          <w:sz w:val="24"/>
          <w:szCs w:val="24"/>
        </w:rPr>
        <w:t>投标人认为有必要提供的其他资料。</w:t>
      </w:r>
    </w:p>
    <w:p>
      <w:pPr>
        <w:pStyle w:val="55"/>
        <w:spacing w:line="520" w:lineRule="exact"/>
        <w:rPr>
          <w:rFonts w:asciiTheme="minorEastAsia" w:hAnsiTheme="minorEastAsia" w:eastAsiaTheme="minorEastAsia"/>
        </w:rPr>
      </w:pPr>
      <w:bookmarkStart w:id="85" w:name="_Toc249266166"/>
      <w:bookmarkStart w:id="86" w:name="_Toc164158485"/>
      <w:bookmarkStart w:id="87" w:name="_Toc249322069"/>
      <w:bookmarkStart w:id="88" w:name="_Toc164062663"/>
      <w:bookmarkStart w:id="89" w:name="_Toc249328984"/>
      <w:bookmarkStart w:id="90" w:name="_Toc164155931"/>
      <w:bookmarkStart w:id="91" w:name="_Toc164138395"/>
      <w:bookmarkStart w:id="92" w:name="_Toc249321974"/>
      <w:bookmarkStart w:id="93" w:name="_Toc530498352"/>
      <w:bookmarkStart w:id="94" w:name="_Toc530292193"/>
      <w:bookmarkStart w:id="95" w:name="_Toc249329091"/>
      <w:bookmarkStart w:id="96" w:name="_Toc70412935"/>
      <w:bookmarkStart w:id="97" w:name="_Toc164155673"/>
      <w:bookmarkStart w:id="98" w:name="_Toc249321826"/>
      <w:bookmarkStart w:id="99" w:name="_Toc249329262"/>
      <w:r>
        <w:rPr>
          <w:rFonts w:hint="eastAsia" w:asciiTheme="minorEastAsia" w:hAnsiTheme="minorEastAsia" w:eastAsiaTheme="minorEastAsia"/>
        </w:rPr>
        <w:t>投标文件的编制</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numPr>
          <w:ilvl w:val="1"/>
          <w:numId w:val="15"/>
        </w:numPr>
        <w:ind w:left="626" w:hanging="626" w:hangingChars="260"/>
        <w:rPr>
          <w:rFonts w:asciiTheme="minorEastAsia" w:hAnsiTheme="minorEastAsia"/>
          <w:sz w:val="24"/>
        </w:rPr>
      </w:pPr>
      <w:r>
        <w:rPr>
          <w:rFonts w:hint="eastAsia" w:asciiTheme="minorEastAsia" w:hAnsiTheme="minorEastAsia"/>
          <w:b/>
          <w:sz w:val="24"/>
        </w:rPr>
        <w:t>投标的语言</w:t>
      </w:r>
    </w:p>
    <w:p>
      <w:pPr>
        <w:ind w:firstLine="480" w:firstLineChars="200"/>
        <w:rPr>
          <w:rFonts w:asciiTheme="minorEastAsia" w:hAnsiTheme="minorEastAsia"/>
          <w:sz w:val="24"/>
        </w:rPr>
      </w:pPr>
      <w:r>
        <w:rPr>
          <w:rFonts w:hint="eastAsia" w:asciiTheme="minorEastAsia" w:hAnsiTheme="minorEastAsia"/>
          <w:sz w:val="24"/>
        </w:rPr>
        <w:t>投标人提交的投标文件以及投标人与招标机构和招标人就有关投标的所有来往函电均应使用</w:t>
      </w:r>
      <w:r>
        <w:rPr>
          <w:rFonts w:hint="eastAsia" w:asciiTheme="minorEastAsia" w:hAnsiTheme="minorEastAsia"/>
          <w:b/>
          <w:sz w:val="24"/>
        </w:rPr>
        <w:t>中文</w:t>
      </w:r>
      <w:r>
        <w:rPr>
          <w:rFonts w:hint="eastAsia" w:asciiTheme="minorEastAsia" w:hAnsiTheme="minorEastAsia"/>
          <w:sz w:val="24"/>
        </w:rPr>
        <w:t>书写。</w:t>
      </w:r>
    </w:p>
    <w:p>
      <w:pPr>
        <w:numPr>
          <w:ilvl w:val="1"/>
          <w:numId w:val="15"/>
        </w:numPr>
        <w:ind w:left="626" w:hanging="626" w:hangingChars="260"/>
        <w:rPr>
          <w:rFonts w:asciiTheme="minorEastAsia" w:hAnsiTheme="minorEastAsia"/>
          <w:sz w:val="24"/>
        </w:rPr>
      </w:pPr>
      <w:bookmarkStart w:id="100" w:name="_Toc530498355"/>
      <w:bookmarkStart w:id="101" w:name="_Toc28340690"/>
      <w:bookmarkStart w:id="102" w:name="_Toc530292196"/>
      <w:r>
        <w:rPr>
          <w:rFonts w:hint="eastAsia" w:asciiTheme="minorEastAsia" w:hAnsiTheme="minorEastAsia"/>
          <w:b/>
          <w:sz w:val="24"/>
        </w:rPr>
        <w:t>投标文件的编写</w:t>
      </w:r>
    </w:p>
    <w:p>
      <w:pPr>
        <w:ind w:firstLine="480" w:firstLineChars="200"/>
        <w:rPr>
          <w:rFonts w:asciiTheme="minorEastAsia" w:hAnsiTheme="minorEastAsia"/>
          <w:sz w:val="24"/>
        </w:rPr>
      </w:pPr>
      <w:r>
        <w:rPr>
          <w:rFonts w:hint="eastAsia" w:asciiTheme="minorEastAsia" w:hAnsiTheme="minorEastAsia"/>
          <w:sz w:val="24"/>
        </w:rPr>
        <w:t>投标人应完整地填写招标文件中提供的投标书、开标一览表、投标分项报价表以及招标文件中规定的其它内容。</w:t>
      </w:r>
    </w:p>
    <w:p>
      <w:pPr>
        <w:numPr>
          <w:ilvl w:val="1"/>
          <w:numId w:val="15"/>
        </w:numPr>
        <w:ind w:left="626" w:hanging="626" w:hangingChars="260"/>
        <w:rPr>
          <w:rFonts w:asciiTheme="minorEastAsia" w:hAnsiTheme="minorEastAsia"/>
          <w:sz w:val="24"/>
        </w:rPr>
      </w:pPr>
      <w:r>
        <w:rPr>
          <w:rFonts w:hint="eastAsia" w:asciiTheme="minorEastAsia" w:hAnsiTheme="minorEastAsia"/>
          <w:b/>
          <w:sz w:val="24"/>
        </w:rPr>
        <w:t>投标报价</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投标总价中不得包含招标文件要求以外的内容，也不得缺漏招标文件所要求的内容。</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对招标文件所涉及的分项报价。若单价的汇总与总价有差异，则以价格低的为准，并进行相应的修正，但单价小数点有明显错误的除外；若数字和文字表示的金额之间有差异，则以文字表示的大写金额为准，并对数字作相应的修正。</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若在投标报价中同一部分或项目有两个以上的报价且未明确哪个报价有效，较低的报价将被视为有效报价。</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投标人所报的投标价在合同执行过程中是固定不变的，不得以任何理由予以变更。</w:t>
      </w:r>
    </w:p>
    <w:p>
      <w:pPr>
        <w:numPr>
          <w:ilvl w:val="2"/>
          <w:numId w:val="15"/>
        </w:numPr>
        <w:tabs>
          <w:tab w:val="left" w:pos="840"/>
        </w:tabs>
        <w:ind w:left="844" w:leftChars="50" w:hanging="744" w:hangingChars="310"/>
        <w:rPr>
          <w:rFonts w:asciiTheme="minorEastAsia" w:hAnsiTheme="minorEastAsia"/>
          <w:sz w:val="24"/>
        </w:rPr>
      </w:pPr>
      <w:r>
        <w:rPr>
          <w:rFonts w:asciiTheme="minorEastAsia" w:hAnsiTheme="minorEastAsia"/>
          <w:sz w:val="24"/>
        </w:rPr>
        <w:t>投标报价应注明有效期，</w:t>
      </w:r>
      <w:r>
        <w:rPr>
          <w:rFonts w:hint="eastAsia" w:asciiTheme="minorEastAsia" w:hAnsiTheme="minorEastAsia"/>
          <w:sz w:val="24"/>
        </w:rPr>
        <w:t>投标报价有效期应与投标有效期相一致。</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投标人在投标报价时，应同时提供含有投标报价全部文本的电子文档一份（与投标文件正文分开单独拷贝并封装）。</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投标报价中使用的货币为</w:t>
      </w:r>
      <w:r>
        <w:rPr>
          <w:rFonts w:hint="eastAsia" w:asciiTheme="minorEastAsia" w:hAnsiTheme="minorEastAsia"/>
          <w:b/>
          <w:sz w:val="24"/>
        </w:rPr>
        <w:t>人民币</w:t>
      </w:r>
      <w:r>
        <w:rPr>
          <w:rFonts w:hint="eastAsia" w:asciiTheme="minorEastAsia" w:hAnsiTheme="minorEastAsia"/>
          <w:sz w:val="24"/>
        </w:rPr>
        <w:t>。</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投标报价一律为包含了增值税的</w:t>
      </w:r>
      <w:r>
        <w:rPr>
          <w:rFonts w:hint="eastAsia" w:asciiTheme="minorEastAsia" w:hAnsiTheme="minorEastAsia"/>
          <w:sz w:val="24"/>
          <w:szCs w:val="22"/>
        </w:rPr>
        <w:t>价格，除非另有说明，任何货物的单价或整项费用均为包干性质，即已包括样板试制、样品、生产、安装、运输、卸车、保险、货物检验试验（调试）、经销、商检、关税、国家及地方税费、企业经营管理费、利润、土建配合费及其他可能发生的所有费用。此合同单价保函本合同明示和隐含的全部工作内容、责任、义务和风险。如在供货、安装期内，发生预期的市场价格涨跌、汇率变动、国家或地方政策改变，单价一律不予调整。</w:t>
      </w:r>
    </w:p>
    <w:p>
      <w:pPr>
        <w:numPr>
          <w:ilvl w:val="2"/>
          <w:numId w:val="15"/>
        </w:numPr>
        <w:tabs>
          <w:tab w:val="left" w:pos="840"/>
        </w:tabs>
        <w:ind w:left="847" w:leftChars="50" w:hanging="747" w:hangingChars="310"/>
        <w:rPr>
          <w:rFonts w:asciiTheme="minorEastAsia" w:hAnsiTheme="minorEastAsia"/>
          <w:b/>
          <w:bCs/>
          <w:sz w:val="24"/>
        </w:rPr>
      </w:pPr>
      <w:r>
        <w:rPr>
          <w:rFonts w:hint="eastAsia" w:asciiTheme="minorEastAsia" w:hAnsiTheme="minorEastAsia"/>
          <w:b/>
          <w:bCs/>
          <w:sz w:val="24"/>
          <w:szCs w:val="22"/>
        </w:rPr>
        <w:t>付款方式详见第五卷合同主要条款</w:t>
      </w:r>
    </w:p>
    <w:bookmarkEnd w:id="100"/>
    <w:bookmarkEnd w:id="101"/>
    <w:bookmarkEnd w:id="102"/>
    <w:p>
      <w:pPr>
        <w:numPr>
          <w:ilvl w:val="1"/>
          <w:numId w:val="15"/>
        </w:numPr>
        <w:ind w:left="626" w:hanging="626" w:hangingChars="260"/>
        <w:rPr>
          <w:rFonts w:asciiTheme="minorEastAsia" w:hAnsiTheme="minorEastAsia"/>
          <w:sz w:val="24"/>
        </w:rPr>
      </w:pPr>
      <w:r>
        <w:rPr>
          <w:rFonts w:hint="eastAsia" w:asciiTheme="minorEastAsia" w:hAnsiTheme="minorEastAsia"/>
          <w:b/>
          <w:sz w:val="24"/>
        </w:rPr>
        <w:t>投标人建议</w:t>
      </w:r>
    </w:p>
    <w:p>
      <w:pPr>
        <w:ind w:left="500" w:leftChars="250"/>
        <w:rPr>
          <w:rFonts w:asciiTheme="minorEastAsia" w:hAnsiTheme="minorEastAsia"/>
          <w:sz w:val="24"/>
        </w:rPr>
      </w:pPr>
      <w:r>
        <w:rPr>
          <w:rFonts w:hint="eastAsia" w:asciiTheme="minorEastAsia" w:hAnsiTheme="minorEastAsia"/>
          <w:sz w:val="24"/>
        </w:rPr>
        <w:t>投标人可提出补充建议或说明，提出比招标文件的要求更为合理的服务方案，同时应说明对技术条件、方案、价格、付款、交货、安装、运行、维护等各个方面的影响。投标人可提供建议方案的报价供招标人参考，但建议方案的报价并不参加本次评标。</w:t>
      </w:r>
    </w:p>
    <w:p>
      <w:pPr>
        <w:numPr>
          <w:ilvl w:val="1"/>
          <w:numId w:val="15"/>
        </w:numPr>
        <w:ind w:left="626" w:hanging="626" w:hangingChars="260"/>
        <w:rPr>
          <w:rFonts w:asciiTheme="minorEastAsia" w:hAnsiTheme="minorEastAsia"/>
          <w:sz w:val="24"/>
        </w:rPr>
      </w:pPr>
      <w:r>
        <w:rPr>
          <w:rFonts w:hint="eastAsia" w:asciiTheme="minorEastAsia" w:hAnsiTheme="minorEastAsia"/>
          <w:b/>
          <w:sz w:val="24"/>
        </w:rPr>
        <w:t>投标文件的式样和签署</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投标人应准备</w:t>
      </w:r>
      <w:r>
        <w:rPr>
          <w:rFonts w:hint="eastAsia" w:asciiTheme="minorEastAsia" w:hAnsiTheme="minorEastAsia"/>
          <w:b/>
          <w:bCs/>
          <w:sz w:val="24"/>
          <w:szCs w:val="22"/>
        </w:rPr>
        <w:t>一</w:t>
      </w:r>
      <w:r>
        <w:rPr>
          <w:rFonts w:hint="eastAsia" w:asciiTheme="minorEastAsia" w:hAnsiTheme="minorEastAsia"/>
          <w:b/>
          <w:sz w:val="24"/>
        </w:rPr>
        <w:t>份</w:t>
      </w:r>
      <w:r>
        <w:rPr>
          <w:rFonts w:hint="eastAsia" w:asciiTheme="minorEastAsia" w:hAnsiTheme="minorEastAsia"/>
          <w:sz w:val="24"/>
        </w:rPr>
        <w:t>投标文件正本和</w:t>
      </w:r>
      <w:r>
        <w:rPr>
          <w:rFonts w:hint="eastAsia" w:asciiTheme="minorEastAsia" w:hAnsiTheme="minorEastAsia"/>
          <w:b/>
          <w:bCs/>
          <w:sz w:val="24"/>
          <w:szCs w:val="22"/>
        </w:rPr>
        <w:t>五</w:t>
      </w:r>
      <w:r>
        <w:rPr>
          <w:rFonts w:hint="eastAsia" w:asciiTheme="minorEastAsia" w:hAnsiTheme="minorEastAsia"/>
          <w:b/>
          <w:bCs/>
          <w:sz w:val="24"/>
        </w:rPr>
        <w:t>份</w:t>
      </w:r>
      <w:r>
        <w:rPr>
          <w:rFonts w:hint="eastAsia" w:asciiTheme="minorEastAsia" w:hAnsiTheme="minorEastAsia"/>
          <w:sz w:val="24"/>
        </w:rPr>
        <w:t>副本，每套投标文件须清楚地标明“正本”或“副本”。若副本与正本不符，以正本为准。</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投标人应准备投标文件的电子版</w:t>
      </w:r>
      <w:r>
        <w:rPr>
          <w:rFonts w:hint="eastAsia" w:asciiTheme="minorEastAsia" w:hAnsiTheme="minorEastAsia"/>
          <w:b/>
          <w:sz w:val="24"/>
        </w:rPr>
        <w:t>一</w:t>
      </w:r>
      <w:r>
        <w:rPr>
          <w:rFonts w:hint="eastAsia" w:asciiTheme="minorEastAsia" w:hAnsiTheme="minorEastAsia"/>
          <w:sz w:val="24"/>
        </w:rPr>
        <w:t>份</w:t>
      </w:r>
      <w:r>
        <w:rPr>
          <w:rFonts w:hint="eastAsia" w:asciiTheme="minorEastAsia" w:hAnsiTheme="minorEastAsia"/>
          <w:b/>
          <w:sz w:val="24"/>
        </w:rPr>
        <w:t>（为可编辑的word、excel版本）</w:t>
      </w:r>
      <w:r>
        <w:rPr>
          <w:rFonts w:hint="eastAsia" w:asciiTheme="minorEastAsia" w:hAnsiTheme="minorEastAsia"/>
          <w:sz w:val="24"/>
        </w:rPr>
        <w:t>。</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文件的正本需打印或用不褪色墨水书写，并由法定代表人或经其正式授权的代表签字。授权代表须将以书面形式出具的《法定代表人授权书》附在投标文件中。除没有修改过的印刷文献外，投标文件的每一页都应由法定代表人或其授权代表用姓或首字母签字。投标文件的副本可采用正本的复印件。</w:t>
      </w:r>
    </w:p>
    <w:p>
      <w:pPr>
        <w:numPr>
          <w:ilvl w:val="2"/>
          <w:numId w:val="15"/>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任何行间插字、涂改和增删，必须由投标文件签字人用姓或首字母在旁边签字才有效。</w:t>
      </w:r>
      <w:bookmarkStart w:id="103" w:name="_Toc530498360"/>
      <w:bookmarkStart w:id="104" w:name="_Toc28340695"/>
      <w:bookmarkStart w:id="105" w:name="_Toc530292201"/>
    </w:p>
    <w:p>
      <w:pPr>
        <w:pStyle w:val="55"/>
        <w:spacing w:line="520" w:lineRule="exact"/>
        <w:rPr>
          <w:rFonts w:asciiTheme="minorEastAsia" w:hAnsiTheme="minorEastAsia" w:eastAsiaTheme="minorEastAsia"/>
        </w:rPr>
      </w:pPr>
      <w:bookmarkStart w:id="106" w:name="_Toc249328985"/>
      <w:bookmarkStart w:id="107" w:name="_Toc249321975"/>
      <w:bookmarkStart w:id="108" w:name="_Toc249266167"/>
      <w:bookmarkStart w:id="109" w:name="_Toc249321827"/>
      <w:bookmarkStart w:id="110" w:name="_Toc249329263"/>
      <w:bookmarkStart w:id="111" w:name="_Toc249329092"/>
      <w:bookmarkStart w:id="112" w:name="_Toc249322070"/>
      <w:r>
        <w:rPr>
          <w:rFonts w:hint="eastAsia" w:asciiTheme="minorEastAsia" w:hAnsiTheme="minorEastAsia" w:eastAsiaTheme="minorEastAsia"/>
        </w:rPr>
        <w:t>投标文件的递交</w:t>
      </w:r>
      <w:bookmarkEnd w:id="103"/>
      <w:bookmarkEnd w:id="104"/>
      <w:bookmarkEnd w:id="105"/>
      <w:bookmarkEnd w:id="106"/>
      <w:bookmarkEnd w:id="107"/>
      <w:bookmarkEnd w:id="108"/>
      <w:bookmarkEnd w:id="109"/>
      <w:bookmarkEnd w:id="110"/>
      <w:bookmarkEnd w:id="111"/>
      <w:bookmarkEnd w:id="112"/>
    </w:p>
    <w:p>
      <w:pPr>
        <w:numPr>
          <w:ilvl w:val="1"/>
          <w:numId w:val="16"/>
        </w:numPr>
        <w:tabs>
          <w:tab w:val="left" w:pos="960"/>
        </w:tabs>
        <w:spacing w:before="60" w:after="60"/>
        <w:ind w:left="626" w:hanging="626" w:hangingChars="260"/>
        <w:rPr>
          <w:rFonts w:asciiTheme="minorEastAsia" w:hAnsiTheme="minorEastAsia"/>
          <w:sz w:val="24"/>
        </w:rPr>
      </w:pPr>
      <w:r>
        <w:rPr>
          <w:rFonts w:hint="eastAsia" w:asciiTheme="minorEastAsia" w:hAnsiTheme="minorEastAsia"/>
          <w:b/>
          <w:sz w:val="24"/>
        </w:rPr>
        <w:t>投标文件的密封与标记</w:t>
      </w:r>
    </w:p>
    <w:p>
      <w:pPr>
        <w:numPr>
          <w:ilvl w:val="2"/>
          <w:numId w:val="16"/>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投标人应将投标文件正本和所有的副本密封装在同一信封内，投标文件应标明“正本”、“副本”字样。</w:t>
      </w:r>
    </w:p>
    <w:p>
      <w:pPr>
        <w:numPr>
          <w:ilvl w:val="2"/>
          <w:numId w:val="16"/>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信封应注明招标项目名称、投标人信息和“在</w:t>
      </w:r>
      <w:r>
        <w:rPr>
          <w:rFonts w:hint="eastAsia" w:asciiTheme="minorEastAsia" w:hAnsiTheme="minorEastAsia"/>
          <w:sz w:val="24"/>
          <w:u w:val="single"/>
        </w:rPr>
        <w:t>(开标日期和时间)</w:t>
      </w:r>
      <w:r>
        <w:rPr>
          <w:rFonts w:hint="eastAsia" w:asciiTheme="minorEastAsia" w:hAnsiTheme="minorEastAsia"/>
          <w:sz w:val="24"/>
        </w:rPr>
        <w:t>之前不得启封”的字样，并填入开标日期和时间。</w:t>
      </w:r>
    </w:p>
    <w:p>
      <w:pPr>
        <w:numPr>
          <w:ilvl w:val="1"/>
          <w:numId w:val="16"/>
        </w:numPr>
        <w:tabs>
          <w:tab w:val="left" w:pos="960"/>
        </w:tabs>
        <w:spacing w:before="60" w:after="60"/>
        <w:ind w:left="626" w:hanging="626" w:hangingChars="260"/>
        <w:rPr>
          <w:rFonts w:asciiTheme="minorEastAsia" w:hAnsiTheme="minorEastAsia"/>
          <w:sz w:val="24"/>
        </w:rPr>
      </w:pPr>
      <w:r>
        <w:rPr>
          <w:rFonts w:hint="eastAsia" w:asciiTheme="minorEastAsia" w:hAnsiTheme="minorEastAsia"/>
          <w:b/>
          <w:sz w:val="24"/>
        </w:rPr>
        <w:t>投标截止日期</w:t>
      </w:r>
    </w:p>
    <w:p>
      <w:pPr>
        <w:numPr>
          <w:ilvl w:val="2"/>
          <w:numId w:val="16"/>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投标人应在</w:t>
      </w:r>
      <w:r>
        <w:rPr>
          <w:rFonts w:hint="eastAsia" w:asciiTheme="minorEastAsia" w:hAnsiTheme="minorEastAsia"/>
          <w:b/>
          <w:bCs/>
          <w:sz w:val="24"/>
        </w:rPr>
        <w:t>20</w:t>
      </w:r>
      <w:r>
        <w:rPr>
          <w:rFonts w:hint="eastAsia" w:asciiTheme="minorEastAsia" w:hAnsiTheme="minorEastAsia"/>
          <w:b/>
          <w:bCs/>
          <w:sz w:val="24"/>
          <w:lang w:val="en-US" w:eastAsia="zh-CN"/>
        </w:rPr>
        <w:t>23</w:t>
      </w:r>
      <w:r>
        <w:rPr>
          <w:rFonts w:hint="eastAsia" w:asciiTheme="minorEastAsia" w:hAnsiTheme="minorEastAsia"/>
          <w:b/>
          <w:bCs/>
          <w:sz w:val="24"/>
        </w:rPr>
        <w:t>年</w:t>
      </w:r>
      <w:r>
        <w:rPr>
          <w:rFonts w:hint="eastAsia" w:asciiTheme="minorEastAsia" w:hAnsiTheme="minorEastAsia"/>
          <w:b/>
          <w:bCs/>
          <w:sz w:val="24"/>
          <w:lang w:val="en-US" w:eastAsia="zh-CN"/>
        </w:rPr>
        <w:t>07</w:t>
      </w:r>
      <w:r>
        <w:rPr>
          <w:rFonts w:hint="eastAsia" w:asciiTheme="minorEastAsia" w:hAnsiTheme="minorEastAsia"/>
          <w:b/>
          <w:bCs/>
          <w:sz w:val="24"/>
        </w:rPr>
        <w:t>月</w:t>
      </w:r>
      <w:r>
        <w:rPr>
          <w:rFonts w:hint="eastAsia" w:asciiTheme="minorEastAsia" w:hAnsiTheme="minorEastAsia"/>
          <w:b/>
          <w:bCs/>
          <w:sz w:val="24"/>
          <w:lang w:val="en-US" w:eastAsia="zh-CN"/>
        </w:rPr>
        <w:t>07</w:t>
      </w:r>
      <w:r>
        <w:rPr>
          <w:rFonts w:hint="eastAsia" w:asciiTheme="minorEastAsia" w:hAnsiTheme="minorEastAsia"/>
          <w:b/>
          <w:bCs/>
          <w:sz w:val="24"/>
        </w:rPr>
        <w:t>日</w:t>
      </w:r>
      <w:r>
        <w:rPr>
          <w:rFonts w:hint="eastAsia" w:asciiTheme="minorEastAsia" w:hAnsiTheme="minorEastAsia"/>
          <w:bCs/>
          <w:sz w:val="24"/>
        </w:rPr>
        <w:t>之前</w:t>
      </w:r>
      <w:r>
        <w:rPr>
          <w:rFonts w:hint="eastAsia" w:asciiTheme="minorEastAsia" w:hAnsiTheme="minorEastAsia"/>
          <w:sz w:val="24"/>
        </w:rPr>
        <w:t>将</w:t>
      </w:r>
      <w:r>
        <w:rPr>
          <w:rFonts w:hint="eastAsia" w:asciiTheme="minorEastAsia" w:hAnsiTheme="minorEastAsia"/>
          <w:sz w:val="24"/>
          <w:lang w:val="en-US" w:eastAsia="zh-CN"/>
        </w:rPr>
        <w:t>所有</w:t>
      </w:r>
      <w:r>
        <w:rPr>
          <w:rFonts w:hint="eastAsia" w:asciiTheme="minorEastAsia" w:hAnsiTheme="minorEastAsia"/>
          <w:sz w:val="24"/>
        </w:rPr>
        <w:t>投标文件</w:t>
      </w:r>
      <w:r>
        <w:rPr>
          <w:rFonts w:hint="eastAsia" w:asciiTheme="minorEastAsia" w:hAnsiTheme="minorEastAsia"/>
          <w:sz w:val="24"/>
          <w:lang w:val="en-US" w:eastAsia="zh-CN"/>
        </w:rPr>
        <w:t>电子版发送</w:t>
      </w:r>
      <w:r>
        <w:rPr>
          <w:rFonts w:hint="eastAsia" w:asciiTheme="minorEastAsia" w:hAnsiTheme="minorEastAsia"/>
          <w:sz w:val="24"/>
        </w:rPr>
        <w:t>至招标</w:t>
      </w:r>
      <w:r>
        <w:rPr>
          <w:rFonts w:hint="eastAsia" w:asciiTheme="minorEastAsia" w:hAnsiTheme="minorEastAsia"/>
          <w:sz w:val="24"/>
          <w:lang w:val="en-US" w:eastAsia="zh-CN"/>
        </w:rPr>
        <w:t>方电子邮箱</w:t>
      </w:r>
      <w:r>
        <w:rPr>
          <w:rFonts w:hint="eastAsia" w:asciiTheme="minorEastAsia" w:hAnsiTheme="minorEastAsia"/>
          <w:b w:val="0"/>
          <w:bCs/>
          <w:sz w:val="24"/>
          <w:szCs w:val="22"/>
        </w:rPr>
        <w:t xml:space="preserve">：450588200@qq.com </w:t>
      </w:r>
      <w:r>
        <w:rPr>
          <w:rFonts w:hint="eastAsia" w:asciiTheme="minorEastAsia" w:hAnsiTheme="minorEastAsia"/>
          <w:b w:val="0"/>
          <w:bCs/>
          <w:sz w:val="24"/>
          <w:szCs w:val="22"/>
          <w:lang w:val="en-US" w:eastAsia="zh-CN"/>
        </w:rPr>
        <w:t>, 咨询电话 18649144811。</w:t>
      </w:r>
    </w:p>
    <w:p>
      <w:pPr>
        <w:numPr>
          <w:ilvl w:val="2"/>
          <w:numId w:val="16"/>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招标机构将拒绝并原封退回在第7.2.1条规定的截止期后收到的任何投标文件。</w:t>
      </w:r>
    </w:p>
    <w:p>
      <w:pPr>
        <w:numPr>
          <w:ilvl w:val="1"/>
          <w:numId w:val="16"/>
        </w:numPr>
        <w:tabs>
          <w:tab w:val="left" w:pos="960"/>
        </w:tabs>
        <w:spacing w:before="60" w:after="60"/>
        <w:ind w:left="626" w:hanging="626" w:hangingChars="260"/>
        <w:rPr>
          <w:rFonts w:asciiTheme="minorEastAsia" w:hAnsiTheme="minorEastAsia"/>
          <w:sz w:val="24"/>
        </w:rPr>
      </w:pPr>
      <w:r>
        <w:rPr>
          <w:rFonts w:hint="eastAsia" w:asciiTheme="minorEastAsia" w:hAnsiTheme="minorEastAsia"/>
          <w:b/>
          <w:sz w:val="24"/>
        </w:rPr>
        <w:t>投标文件的修改和撤回</w:t>
      </w:r>
    </w:p>
    <w:p>
      <w:pPr>
        <w:numPr>
          <w:ilvl w:val="2"/>
          <w:numId w:val="16"/>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投标人在递交投标文件后，可以修改或撤回其投标，但投标人必须在规定的投标截止期之前将修改或撤回的书面通知递交到招标机构。</w:t>
      </w:r>
    </w:p>
    <w:p>
      <w:pPr>
        <w:numPr>
          <w:ilvl w:val="2"/>
          <w:numId w:val="16"/>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投标人的修改或撤回通知应按第7.1条规定编制、密封、标记和递交。</w:t>
      </w:r>
    </w:p>
    <w:p>
      <w:pPr>
        <w:numPr>
          <w:ilvl w:val="2"/>
          <w:numId w:val="16"/>
        </w:numPr>
        <w:tabs>
          <w:tab w:val="left" w:pos="840"/>
          <w:tab w:val="clear" w:pos="1418"/>
        </w:tabs>
        <w:ind w:left="844" w:leftChars="50" w:hanging="744" w:hangingChars="310"/>
        <w:rPr>
          <w:rFonts w:asciiTheme="minorEastAsia" w:hAnsiTheme="minorEastAsia"/>
          <w:sz w:val="24"/>
        </w:rPr>
      </w:pPr>
      <w:r>
        <w:rPr>
          <w:rFonts w:hint="eastAsia" w:asciiTheme="minorEastAsia" w:hAnsiTheme="minorEastAsia"/>
          <w:sz w:val="24"/>
        </w:rPr>
        <w:t>在投标截止期之后，投标人不得对其投标做任何修改。</w:t>
      </w:r>
    </w:p>
    <w:p>
      <w:pPr>
        <w:numPr>
          <w:ilvl w:val="1"/>
          <w:numId w:val="16"/>
        </w:numPr>
        <w:tabs>
          <w:tab w:val="left" w:pos="960"/>
        </w:tabs>
        <w:spacing w:before="60" w:after="60"/>
        <w:ind w:left="626" w:hanging="626" w:hangingChars="260"/>
        <w:rPr>
          <w:rFonts w:asciiTheme="minorEastAsia" w:hAnsiTheme="minorEastAsia"/>
          <w:sz w:val="24"/>
        </w:rPr>
      </w:pPr>
      <w:r>
        <w:rPr>
          <w:rFonts w:hint="eastAsia" w:asciiTheme="minorEastAsia" w:hAnsiTheme="minorEastAsia"/>
          <w:b/>
          <w:sz w:val="24"/>
        </w:rPr>
        <w:t>废标</w:t>
      </w:r>
    </w:p>
    <w:p>
      <w:pPr>
        <w:ind w:firstLine="480" w:firstLineChars="200"/>
        <w:rPr>
          <w:rFonts w:asciiTheme="minorEastAsia" w:hAnsiTheme="minorEastAsia"/>
          <w:sz w:val="24"/>
        </w:rPr>
      </w:pPr>
      <w:r>
        <w:rPr>
          <w:rFonts w:hint="eastAsia" w:asciiTheme="minorEastAsia" w:hAnsiTheme="minorEastAsia"/>
          <w:sz w:val="24"/>
        </w:rPr>
        <w:t>发生下列情况之一者，视为废标。</w:t>
      </w:r>
    </w:p>
    <w:p>
      <w:pPr>
        <w:numPr>
          <w:ilvl w:val="2"/>
          <w:numId w:val="16"/>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投标文件未按规定密封和/或投标文件未按规定加盖公章和签字。</w:t>
      </w:r>
    </w:p>
    <w:p>
      <w:pPr>
        <w:numPr>
          <w:ilvl w:val="2"/>
          <w:numId w:val="16"/>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投标人提供的证明资料与事实不符。</w:t>
      </w:r>
    </w:p>
    <w:p>
      <w:pPr>
        <w:numPr>
          <w:ilvl w:val="2"/>
          <w:numId w:val="16"/>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经查实不符合对招标人资质规定要求的情况。</w:t>
      </w:r>
    </w:p>
    <w:p>
      <w:pPr>
        <w:numPr>
          <w:ilvl w:val="2"/>
          <w:numId w:val="16"/>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投标文件未按规定格式、内容填写和/或投标文件内容与招标文件有严重背离（如：付款条件严重偏离招标文件的要求）。</w:t>
      </w:r>
    </w:p>
    <w:p>
      <w:pPr>
        <w:numPr>
          <w:ilvl w:val="2"/>
          <w:numId w:val="16"/>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投标文件附有招标人不能接受的条件</w:t>
      </w:r>
      <w:r>
        <w:rPr>
          <w:rFonts w:asciiTheme="minorEastAsia" w:hAnsiTheme="minorEastAsia"/>
          <w:sz w:val="24"/>
        </w:rPr>
        <w:t>。</w:t>
      </w:r>
    </w:p>
    <w:p>
      <w:pPr>
        <w:numPr>
          <w:ilvl w:val="2"/>
          <w:numId w:val="16"/>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不符合招标文件中规定的其他实质性要求。</w:t>
      </w:r>
    </w:p>
    <w:p>
      <w:pPr>
        <w:numPr>
          <w:ilvl w:val="2"/>
          <w:numId w:val="16"/>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在投标或评标过程中，投标人有违纪行为。</w:t>
      </w:r>
    </w:p>
    <w:p>
      <w:pPr>
        <w:pStyle w:val="55"/>
        <w:spacing w:line="520" w:lineRule="exact"/>
        <w:rPr>
          <w:rFonts w:asciiTheme="minorEastAsia" w:hAnsiTheme="minorEastAsia" w:eastAsiaTheme="minorEastAsia"/>
        </w:rPr>
      </w:pPr>
      <w:bookmarkStart w:id="113" w:name="_Toc299115678"/>
      <w:bookmarkStart w:id="114" w:name="_Toc422459022"/>
      <w:bookmarkStart w:id="115" w:name="_Toc369687552"/>
      <w:r>
        <w:rPr>
          <w:rFonts w:hint="eastAsia" w:asciiTheme="minorEastAsia" w:hAnsiTheme="minorEastAsia" w:eastAsiaTheme="minorEastAsia"/>
        </w:rPr>
        <w:t>开标、述标、评标与定标</w:t>
      </w:r>
      <w:bookmarkEnd w:id="113"/>
      <w:bookmarkEnd w:id="114"/>
      <w:bookmarkEnd w:id="115"/>
    </w:p>
    <w:p>
      <w:pPr>
        <w:numPr>
          <w:ilvl w:val="1"/>
          <w:numId w:val="17"/>
        </w:numPr>
        <w:ind w:left="626" w:hanging="626" w:hangingChars="260"/>
        <w:rPr>
          <w:rFonts w:asciiTheme="minorEastAsia" w:hAnsiTheme="minorEastAsia"/>
          <w:sz w:val="24"/>
        </w:rPr>
      </w:pPr>
      <w:r>
        <w:rPr>
          <w:rFonts w:hint="eastAsia" w:asciiTheme="minorEastAsia" w:hAnsiTheme="minorEastAsia"/>
          <w:b/>
          <w:sz w:val="24"/>
        </w:rPr>
        <w:t>开标</w:t>
      </w:r>
    </w:p>
    <w:p>
      <w:pPr>
        <w:numPr>
          <w:ilvl w:val="2"/>
          <w:numId w:val="18"/>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lang w:val="en-US" w:eastAsia="zh-CN"/>
        </w:rPr>
        <w:t xml:space="preserve">  </w:t>
      </w:r>
      <w:r>
        <w:rPr>
          <w:rFonts w:hint="eastAsia" w:asciiTheme="minorEastAsia" w:hAnsiTheme="minorEastAsia"/>
          <w:b/>
          <w:bCs/>
          <w:sz w:val="24"/>
          <w:lang w:val="en-US" w:eastAsia="zh-CN"/>
        </w:rPr>
        <w:t xml:space="preserve">  参标供应商应</w:t>
      </w:r>
      <w:r>
        <w:rPr>
          <w:rFonts w:hint="eastAsia" w:asciiTheme="minorEastAsia" w:hAnsiTheme="minorEastAsia"/>
          <w:b/>
          <w:bCs/>
          <w:sz w:val="24"/>
        </w:rPr>
        <w:t>在</w:t>
      </w:r>
      <w:r>
        <w:rPr>
          <w:rFonts w:hint="eastAsia" w:asciiTheme="minorEastAsia" w:hAnsiTheme="minorEastAsia"/>
          <w:b/>
          <w:sz w:val="24"/>
        </w:rPr>
        <w:t>20</w:t>
      </w:r>
      <w:r>
        <w:rPr>
          <w:rFonts w:hint="eastAsia" w:asciiTheme="minorEastAsia" w:hAnsiTheme="minorEastAsia"/>
          <w:b/>
          <w:sz w:val="24"/>
          <w:lang w:val="en-US" w:eastAsia="zh-CN"/>
        </w:rPr>
        <w:t>23</w:t>
      </w:r>
      <w:r>
        <w:rPr>
          <w:rFonts w:hint="eastAsia" w:asciiTheme="minorEastAsia" w:hAnsiTheme="minorEastAsia"/>
          <w:b/>
          <w:sz w:val="24"/>
        </w:rPr>
        <w:t>年</w:t>
      </w:r>
      <w:r>
        <w:rPr>
          <w:rFonts w:hint="eastAsia" w:asciiTheme="minorEastAsia" w:hAnsiTheme="minorEastAsia"/>
          <w:b/>
          <w:sz w:val="24"/>
          <w:lang w:val="en-US" w:eastAsia="zh-CN"/>
        </w:rPr>
        <w:t>07</w:t>
      </w:r>
      <w:r>
        <w:rPr>
          <w:rFonts w:hint="eastAsia" w:asciiTheme="minorEastAsia" w:hAnsiTheme="minorEastAsia"/>
          <w:b/>
          <w:sz w:val="24"/>
        </w:rPr>
        <w:t>月</w:t>
      </w:r>
      <w:r>
        <w:rPr>
          <w:rFonts w:hint="eastAsia" w:asciiTheme="minorEastAsia" w:hAnsiTheme="minorEastAsia"/>
          <w:b/>
          <w:sz w:val="24"/>
          <w:lang w:val="en-US" w:eastAsia="zh-CN"/>
        </w:rPr>
        <w:t>07</w:t>
      </w:r>
      <w:r>
        <w:rPr>
          <w:rFonts w:hint="eastAsia" w:asciiTheme="minorEastAsia" w:hAnsiTheme="minorEastAsia"/>
          <w:b/>
          <w:sz w:val="24"/>
        </w:rPr>
        <w:t>日上午</w:t>
      </w:r>
      <w:r>
        <w:rPr>
          <w:rFonts w:hint="eastAsia" w:asciiTheme="minorEastAsia" w:hAnsiTheme="minorEastAsia"/>
          <w:b/>
          <w:sz w:val="24"/>
          <w:lang w:val="en-US" w:eastAsia="zh-CN"/>
        </w:rPr>
        <w:t>16</w:t>
      </w:r>
      <w:r>
        <w:rPr>
          <w:rFonts w:hint="eastAsia" w:asciiTheme="minorEastAsia" w:hAnsiTheme="minorEastAsia"/>
          <w:b/>
          <w:sz w:val="24"/>
        </w:rPr>
        <w:t>:</w:t>
      </w:r>
      <w:r>
        <w:rPr>
          <w:rFonts w:hint="eastAsia" w:asciiTheme="minorEastAsia" w:hAnsiTheme="minorEastAsia"/>
          <w:b/>
          <w:sz w:val="24"/>
          <w:lang w:val="en-US" w:eastAsia="zh-CN"/>
        </w:rPr>
        <w:t>3</w:t>
      </w:r>
      <w:r>
        <w:rPr>
          <w:rFonts w:hint="eastAsia" w:asciiTheme="minorEastAsia" w:hAnsiTheme="minorEastAsia"/>
          <w:b/>
          <w:sz w:val="24"/>
        </w:rPr>
        <w:t>0</w:t>
      </w:r>
      <w:r>
        <w:rPr>
          <w:rFonts w:hint="eastAsia" w:asciiTheme="minorEastAsia" w:hAnsiTheme="minorEastAsia"/>
          <w:b/>
          <w:sz w:val="24"/>
          <w:lang w:val="en-US" w:eastAsia="zh-CN"/>
        </w:rPr>
        <w:t>-17：3</w:t>
      </w:r>
      <w:bookmarkStart w:id="403" w:name="_GoBack"/>
      <w:bookmarkEnd w:id="403"/>
      <w:r>
        <w:rPr>
          <w:rFonts w:hint="eastAsia" w:asciiTheme="minorEastAsia" w:hAnsiTheme="minorEastAsia"/>
          <w:b/>
          <w:sz w:val="24"/>
          <w:lang w:val="en-US" w:eastAsia="zh-CN"/>
        </w:rPr>
        <w:t>0</w:t>
      </w:r>
      <w:r>
        <w:rPr>
          <w:rFonts w:hint="eastAsia" w:asciiTheme="minorEastAsia" w:hAnsiTheme="minorEastAsia"/>
          <w:b/>
          <w:sz w:val="24"/>
        </w:rPr>
        <w:t xml:space="preserve"> (北京时间)</w:t>
      </w:r>
      <w:r>
        <w:rPr>
          <w:rFonts w:hint="eastAsia" w:asciiTheme="minorEastAsia" w:hAnsiTheme="minorEastAsia"/>
          <w:b/>
          <w:bCs/>
          <w:sz w:val="24"/>
        </w:rPr>
        <w:t>在</w:t>
      </w:r>
      <w:r>
        <w:rPr>
          <w:rFonts w:hint="eastAsia" w:asciiTheme="minorEastAsia" w:hAnsiTheme="minorEastAsia"/>
          <w:b/>
          <w:sz w:val="24"/>
          <w:lang w:val="en-US" w:eastAsia="zh-CN"/>
        </w:rPr>
        <w:t>中采网平台（www.webbiao.com)进行网上报价，选出价格最低的三家供应商</w:t>
      </w:r>
      <w:r>
        <w:rPr>
          <w:rFonts w:hint="eastAsia" w:asciiTheme="minorEastAsia" w:hAnsiTheme="minorEastAsia"/>
          <w:sz w:val="24"/>
        </w:rPr>
        <w:t>。</w:t>
      </w:r>
      <w:r>
        <w:rPr>
          <w:rFonts w:hint="eastAsia" w:asciiTheme="minorEastAsia" w:hAnsiTheme="minorEastAsia"/>
          <w:b/>
          <w:bCs/>
          <w:sz w:val="24"/>
          <w:lang w:val="en-US" w:eastAsia="zh-CN"/>
        </w:rPr>
        <w:t>入围单位</w:t>
      </w:r>
      <w:r>
        <w:rPr>
          <w:rFonts w:hint="eastAsia" w:asciiTheme="minorEastAsia" w:hAnsiTheme="minorEastAsia"/>
          <w:b/>
          <w:sz w:val="24"/>
          <w:szCs w:val="22"/>
          <w:lang w:val="en-US" w:eastAsia="zh-CN"/>
        </w:rPr>
        <w:t>于10日上午10：00：在</w:t>
      </w:r>
      <w:r>
        <w:rPr>
          <w:rFonts w:hint="eastAsia" w:asciiTheme="minorEastAsia" w:hAnsiTheme="minorEastAsia"/>
          <w:b/>
          <w:sz w:val="24"/>
        </w:rPr>
        <w:t>河北建工集团设计研究院12F会议室</w:t>
      </w:r>
      <w:r>
        <w:rPr>
          <w:rFonts w:hint="eastAsia" w:asciiTheme="minorEastAsia" w:hAnsiTheme="minorEastAsia"/>
          <w:b/>
          <w:sz w:val="24"/>
          <w:lang w:val="en-US" w:eastAsia="zh-CN"/>
        </w:rPr>
        <w:t>参加评标</w:t>
      </w:r>
      <w:r>
        <w:rPr>
          <w:rFonts w:hint="eastAsia" w:asciiTheme="minorEastAsia" w:hAnsiTheme="minorEastAsia"/>
          <w:sz w:val="24"/>
        </w:rPr>
        <w:t>（如有变化，另行通知）。</w:t>
      </w:r>
    </w:p>
    <w:p>
      <w:pPr>
        <w:numPr>
          <w:ilvl w:val="2"/>
          <w:numId w:val="18"/>
        </w:numPr>
        <w:tabs>
          <w:tab w:val="left" w:pos="840"/>
        </w:tabs>
        <w:spacing w:before="60" w:after="60"/>
        <w:ind w:left="844" w:leftChars="50" w:hanging="744" w:hangingChars="310"/>
        <w:rPr>
          <w:rFonts w:asciiTheme="minorEastAsia" w:hAnsiTheme="minorEastAsia"/>
          <w:sz w:val="24"/>
        </w:rPr>
      </w:pPr>
      <w:r>
        <w:rPr>
          <w:rFonts w:hint="eastAsia" w:asciiTheme="minorEastAsia" w:hAnsiTheme="minorEastAsia"/>
          <w:sz w:val="24"/>
        </w:rPr>
        <w:t>开标顺序按投标文件递交的先后逆序进行开标，即按先到后开，后到先开的原则。</w:t>
      </w:r>
    </w:p>
    <w:p>
      <w:pPr>
        <w:numPr>
          <w:ilvl w:val="2"/>
          <w:numId w:val="18"/>
        </w:numPr>
        <w:tabs>
          <w:tab w:val="left" w:pos="840"/>
        </w:tabs>
        <w:spacing w:before="60" w:after="60"/>
        <w:ind w:left="844" w:leftChars="50" w:hanging="744" w:hangingChars="310"/>
        <w:rPr>
          <w:rFonts w:asciiTheme="minorEastAsia" w:hAnsiTheme="minorEastAsia"/>
          <w:sz w:val="24"/>
        </w:rPr>
      </w:pPr>
      <w:r>
        <w:rPr>
          <w:rFonts w:asciiTheme="minorEastAsia" w:hAnsiTheme="minorEastAsia"/>
          <w:sz w:val="24"/>
        </w:rPr>
        <w:t>开标完毕后投标人即可离场，中标结果将电话通知中标单位。</w:t>
      </w:r>
    </w:p>
    <w:p>
      <w:pPr>
        <w:numPr>
          <w:ilvl w:val="1"/>
          <w:numId w:val="17"/>
        </w:numPr>
        <w:ind w:left="631" w:hanging="631" w:hangingChars="262"/>
        <w:rPr>
          <w:rFonts w:asciiTheme="minorEastAsia" w:hAnsiTheme="minorEastAsia"/>
          <w:sz w:val="24"/>
        </w:rPr>
      </w:pPr>
      <w:r>
        <w:rPr>
          <w:rFonts w:hint="eastAsia" w:asciiTheme="minorEastAsia" w:hAnsiTheme="minorEastAsia"/>
          <w:b/>
          <w:sz w:val="24"/>
        </w:rPr>
        <w:t>评标</w:t>
      </w:r>
    </w:p>
    <w:p>
      <w:pPr>
        <w:numPr>
          <w:ilvl w:val="2"/>
          <w:numId w:val="17"/>
        </w:numPr>
        <w:rPr>
          <w:rFonts w:asciiTheme="minorEastAsia" w:hAnsiTheme="minorEastAsia"/>
          <w:sz w:val="24"/>
        </w:rPr>
      </w:pPr>
      <w:r>
        <w:rPr>
          <w:rFonts w:hint="eastAsia" w:asciiTheme="minorEastAsia" w:hAnsiTheme="minorEastAsia"/>
          <w:sz w:val="24"/>
        </w:rPr>
        <w:t>评标委员会和澄清</w:t>
      </w:r>
    </w:p>
    <w:p>
      <w:pPr>
        <w:numPr>
          <w:ilvl w:val="0"/>
          <w:numId w:val="19"/>
        </w:numPr>
        <w:tabs>
          <w:tab w:val="left" w:pos="425"/>
          <w:tab w:val="left" w:pos="1418"/>
        </w:tabs>
        <w:rPr>
          <w:rFonts w:asciiTheme="minorEastAsia" w:hAnsiTheme="minorEastAsia"/>
          <w:sz w:val="24"/>
        </w:rPr>
      </w:pPr>
      <w:r>
        <w:rPr>
          <w:rFonts w:hint="eastAsia" w:asciiTheme="minorEastAsia" w:hAnsiTheme="minorEastAsia"/>
          <w:sz w:val="24"/>
        </w:rPr>
        <w:t>招标机构依照有关法规组建评标委员会，进行评标。</w:t>
      </w:r>
    </w:p>
    <w:p>
      <w:pPr>
        <w:numPr>
          <w:ilvl w:val="0"/>
          <w:numId w:val="19"/>
        </w:numPr>
        <w:tabs>
          <w:tab w:val="left" w:pos="425"/>
          <w:tab w:val="left" w:pos="1418"/>
        </w:tabs>
        <w:rPr>
          <w:rFonts w:asciiTheme="minorEastAsia" w:hAnsiTheme="minorEastAsia"/>
          <w:sz w:val="24"/>
        </w:rPr>
      </w:pPr>
      <w:r>
        <w:rPr>
          <w:rFonts w:hint="eastAsia" w:asciiTheme="minorEastAsia" w:hAnsiTheme="minorEastAsia"/>
          <w:sz w:val="24"/>
        </w:rPr>
        <w:t>在评标期间，评标委员会可要求投标人对其投标文件进行澄清，但不得寻求、提供或允许对投标价格等实质性内容做任何更改。有关澄清的要求和答复均应以书面形式提交。</w:t>
      </w:r>
    </w:p>
    <w:p>
      <w:pPr>
        <w:numPr>
          <w:ilvl w:val="2"/>
          <w:numId w:val="17"/>
        </w:numPr>
        <w:rPr>
          <w:rFonts w:asciiTheme="minorEastAsia" w:hAnsiTheme="minorEastAsia"/>
          <w:sz w:val="24"/>
        </w:rPr>
      </w:pPr>
      <w:r>
        <w:rPr>
          <w:rFonts w:hint="eastAsia" w:asciiTheme="minorEastAsia" w:hAnsiTheme="minorEastAsia"/>
          <w:sz w:val="24"/>
        </w:rPr>
        <w:t>评标标准和办法</w:t>
      </w:r>
    </w:p>
    <w:p>
      <w:pPr>
        <w:numPr>
          <w:ilvl w:val="0"/>
          <w:numId w:val="20"/>
        </w:numPr>
        <w:tabs>
          <w:tab w:val="left" w:pos="425"/>
          <w:tab w:val="left" w:pos="1418"/>
        </w:tabs>
        <w:rPr>
          <w:rFonts w:asciiTheme="minorEastAsia" w:hAnsiTheme="minorEastAsia"/>
          <w:sz w:val="24"/>
        </w:rPr>
      </w:pPr>
      <w:r>
        <w:rPr>
          <w:rFonts w:hint="eastAsia" w:asciiTheme="minorEastAsia" w:hAnsiTheme="minorEastAsia"/>
          <w:sz w:val="24"/>
        </w:rPr>
        <w:t>本项目评标按照技术、商务分别排序，综合比较后推荐中标候选人。</w:t>
      </w:r>
    </w:p>
    <w:p>
      <w:pPr>
        <w:numPr>
          <w:ilvl w:val="0"/>
          <w:numId w:val="20"/>
        </w:numPr>
        <w:tabs>
          <w:tab w:val="left" w:pos="425"/>
          <w:tab w:val="left" w:pos="1418"/>
        </w:tabs>
        <w:rPr>
          <w:rFonts w:asciiTheme="minorEastAsia" w:hAnsiTheme="minorEastAsia"/>
          <w:sz w:val="24"/>
        </w:rPr>
      </w:pPr>
      <w:r>
        <w:rPr>
          <w:rFonts w:hint="eastAsia" w:asciiTheme="minorEastAsia" w:hAnsiTheme="minorEastAsia"/>
          <w:sz w:val="24"/>
        </w:rPr>
        <w:t>技术评标采用综合评分法,实行百分制。技术评标要素为：系统建设方案与业务需求及建设目标的符合度；与本项目相关的实施经验；项目经理及团队的工作能力及有效工作量；技术支持能力及售后服务能力等。</w:t>
      </w:r>
    </w:p>
    <w:p>
      <w:pPr>
        <w:numPr>
          <w:ilvl w:val="0"/>
          <w:numId w:val="20"/>
        </w:numPr>
        <w:tabs>
          <w:tab w:val="left" w:pos="425"/>
          <w:tab w:val="left" w:pos="1418"/>
        </w:tabs>
        <w:rPr>
          <w:rFonts w:asciiTheme="minorEastAsia" w:hAnsiTheme="minorEastAsia"/>
          <w:sz w:val="24"/>
        </w:rPr>
      </w:pPr>
      <w:r>
        <w:rPr>
          <w:rFonts w:hint="eastAsia" w:asciiTheme="minorEastAsia" w:hAnsiTheme="minorEastAsia"/>
          <w:sz w:val="24"/>
        </w:rPr>
        <w:t>商务评标采用综合指数计算方法,实行百分制。商务评标要素为：投标文件的响应性；投标人资质；价格及报价合理性；交货期；服务承诺等。</w:t>
      </w:r>
    </w:p>
    <w:p>
      <w:pPr>
        <w:numPr>
          <w:ilvl w:val="0"/>
          <w:numId w:val="20"/>
        </w:numPr>
        <w:tabs>
          <w:tab w:val="left" w:pos="425"/>
          <w:tab w:val="left" w:pos="1418"/>
        </w:tabs>
        <w:rPr>
          <w:rFonts w:asciiTheme="minorEastAsia" w:hAnsiTheme="minorEastAsia"/>
          <w:sz w:val="24"/>
        </w:rPr>
      </w:pPr>
      <w:r>
        <w:rPr>
          <w:rFonts w:asciiTheme="minorEastAsia" w:hAnsiTheme="minorEastAsia"/>
          <w:sz w:val="24"/>
        </w:rPr>
        <w:t>评标过程中可能会根据报价情况要求投标人进行二次报价。</w:t>
      </w:r>
    </w:p>
    <w:p>
      <w:pPr>
        <w:numPr>
          <w:ilvl w:val="1"/>
          <w:numId w:val="17"/>
        </w:numPr>
        <w:ind w:left="631" w:hanging="631" w:hangingChars="262"/>
        <w:rPr>
          <w:rFonts w:asciiTheme="minorEastAsia" w:hAnsiTheme="minorEastAsia"/>
          <w:b/>
          <w:sz w:val="24"/>
        </w:rPr>
      </w:pPr>
      <w:r>
        <w:rPr>
          <w:rFonts w:hint="eastAsia" w:asciiTheme="minorEastAsia" w:hAnsiTheme="minorEastAsia"/>
          <w:b/>
          <w:sz w:val="24"/>
        </w:rPr>
        <w:t>定标</w:t>
      </w:r>
    </w:p>
    <w:p>
      <w:pPr>
        <w:tabs>
          <w:tab w:val="left" w:pos="425"/>
          <w:tab w:val="left" w:pos="1418"/>
        </w:tabs>
        <w:ind w:left="284"/>
        <w:rPr>
          <w:rFonts w:asciiTheme="minorEastAsia" w:hAnsiTheme="minorEastAsia"/>
          <w:sz w:val="24"/>
        </w:rPr>
      </w:pPr>
      <w:r>
        <w:rPr>
          <w:rFonts w:hint="eastAsia" w:asciiTheme="minorEastAsia" w:hAnsiTheme="minorEastAsia"/>
          <w:sz w:val="24"/>
        </w:rPr>
        <w:t>8.4.1招标人有权决定实施报价中的全部内容或部分内容，最终中标价格以投标人对招标人决定实施内容的报价之和为准。</w:t>
      </w:r>
    </w:p>
    <w:p>
      <w:pPr>
        <w:tabs>
          <w:tab w:val="left" w:pos="425"/>
          <w:tab w:val="left" w:pos="1418"/>
        </w:tabs>
        <w:ind w:firstLine="283" w:firstLineChars="118"/>
        <w:rPr>
          <w:rFonts w:asciiTheme="minorEastAsia" w:hAnsiTheme="minorEastAsia"/>
          <w:sz w:val="24"/>
        </w:rPr>
      </w:pPr>
      <w:r>
        <w:rPr>
          <w:rFonts w:hint="eastAsia" w:asciiTheme="minorEastAsia" w:hAnsiTheme="minorEastAsia"/>
          <w:sz w:val="24"/>
        </w:rPr>
        <w:t>8.4.2中标候选人不能按照招标人规定的进度，经双方协商后不能达成一致意见，将取消中标候选人资格。</w:t>
      </w:r>
    </w:p>
    <w:p>
      <w:pPr>
        <w:tabs>
          <w:tab w:val="left" w:pos="425"/>
          <w:tab w:val="left" w:pos="1418"/>
        </w:tabs>
        <w:ind w:firstLine="240" w:firstLineChars="100"/>
        <w:rPr>
          <w:rFonts w:asciiTheme="minorEastAsia" w:hAnsiTheme="minorEastAsia"/>
          <w:sz w:val="24"/>
        </w:rPr>
      </w:pPr>
      <w:r>
        <w:rPr>
          <w:rFonts w:hint="eastAsia" w:asciiTheme="minorEastAsia" w:hAnsiTheme="minorEastAsia"/>
          <w:sz w:val="24"/>
        </w:rPr>
        <w:t>8.4.3招标人保留在授标之前任何时候接受或拒绝任何投标，以及宣布招标程序无效或拒绝所有投标的权力，对受影响的投标人不承担任何责任，也无义务向受影响的投标人解释采取这一行动的理由。</w:t>
      </w:r>
    </w:p>
    <w:p>
      <w:pPr>
        <w:pStyle w:val="55"/>
        <w:spacing w:line="520" w:lineRule="exact"/>
        <w:rPr>
          <w:rFonts w:asciiTheme="minorEastAsia" w:hAnsiTheme="minorEastAsia" w:eastAsiaTheme="minorEastAsia"/>
        </w:rPr>
      </w:pPr>
      <w:bookmarkStart w:id="116" w:name="_Toc249329094"/>
      <w:bookmarkStart w:id="117" w:name="_Toc70412937"/>
      <w:bookmarkStart w:id="118" w:name="_Toc164062665"/>
      <w:bookmarkStart w:id="119" w:name="_Toc249329265"/>
      <w:bookmarkStart w:id="120" w:name="_Toc249266169"/>
      <w:bookmarkStart w:id="121" w:name="_Toc164155933"/>
      <w:bookmarkStart w:id="122" w:name="_Toc28340707"/>
      <w:bookmarkStart w:id="123" w:name="_Toc249321977"/>
      <w:bookmarkStart w:id="124" w:name="_Toc249322072"/>
      <w:bookmarkStart w:id="125" w:name="_Toc249321829"/>
      <w:bookmarkStart w:id="126" w:name="_Toc164155675"/>
      <w:bookmarkStart w:id="127" w:name="_Toc164138397"/>
      <w:bookmarkStart w:id="128" w:name="_Toc249328987"/>
      <w:bookmarkStart w:id="129" w:name="_Toc164158487"/>
      <w:r>
        <w:rPr>
          <w:rFonts w:hint="eastAsia" w:asciiTheme="minorEastAsia" w:hAnsiTheme="minorEastAsia" w:eastAsiaTheme="minorEastAsia"/>
        </w:rPr>
        <w:t>授予合同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21"/>
        </w:numPr>
        <w:ind w:left="626" w:hanging="626" w:hangingChars="260"/>
        <w:rPr>
          <w:rFonts w:asciiTheme="minorEastAsia" w:hAnsiTheme="minorEastAsia"/>
          <w:sz w:val="24"/>
        </w:rPr>
      </w:pPr>
      <w:r>
        <w:rPr>
          <w:rFonts w:hint="eastAsia" w:asciiTheme="minorEastAsia" w:hAnsiTheme="minorEastAsia"/>
          <w:b/>
          <w:sz w:val="24"/>
        </w:rPr>
        <w:t>中标通知</w:t>
      </w:r>
    </w:p>
    <w:p>
      <w:pPr>
        <w:numPr>
          <w:ilvl w:val="2"/>
          <w:numId w:val="21"/>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中标人确定后，招标机构将向中标人发出《中标通知书》。</w:t>
      </w:r>
    </w:p>
    <w:p>
      <w:pPr>
        <w:numPr>
          <w:ilvl w:val="2"/>
          <w:numId w:val="21"/>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《中标通知书》是合同的一个组成部分。</w:t>
      </w:r>
    </w:p>
    <w:p>
      <w:pPr>
        <w:numPr>
          <w:ilvl w:val="1"/>
          <w:numId w:val="21"/>
        </w:numPr>
        <w:ind w:left="626" w:hanging="626" w:hangingChars="260"/>
        <w:rPr>
          <w:rFonts w:asciiTheme="minorEastAsia" w:hAnsiTheme="minorEastAsia"/>
          <w:sz w:val="24"/>
        </w:rPr>
      </w:pPr>
      <w:r>
        <w:rPr>
          <w:rFonts w:hint="eastAsia" w:asciiTheme="minorEastAsia" w:hAnsiTheme="minorEastAsia"/>
          <w:b/>
          <w:sz w:val="24"/>
        </w:rPr>
        <w:t>签订合同</w:t>
      </w:r>
    </w:p>
    <w:p>
      <w:pPr>
        <w:numPr>
          <w:ilvl w:val="2"/>
          <w:numId w:val="21"/>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中标人在接到《中标通知书》后，必须在5个工作日内，准时派授权代表到指定地点按招标文件签订合同。合同的每一页（包括所有附件）均应校签。中标人不得对合同价格、合同条款、技术要求和工作范围及供货范围等内容与中标状态有任何改变，如果上述内容发生重大变动，而不符合招标人的要求时，招标人有权终止与中标人签约。但投标人应能够预计到合同条款可能的修改将对投标人产生何种影响，并应在承诺函中承诺接受这种修改。</w:t>
      </w:r>
    </w:p>
    <w:p>
      <w:pPr>
        <w:numPr>
          <w:ilvl w:val="2"/>
          <w:numId w:val="21"/>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如果招标人在签约过程中认为中标人不具备履行合同的能力，招标人有权终止与其签约，并将其投标废弃。在这种情况下，招标人将选择备选中标候选人，并做出同样的判定。招标人最终将把合同授予被确认为有能力圆满履行合同义务的中标候选人。</w:t>
      </w:r>
    </w:p>
    <w:p>
      <w:pPr>
        <w:numPr>
          <w:ilvl w:val="2"/>
          <w:numId w:val="21"/>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在签约过程中，招标人有权对招标文件中规定的服务方案和服务范围进行适当变动和局部增加或减少；但如果发生由于投标人的服务方案变更和/或报价失误而导致的价格变动，招标人将不予接受。</w:t>
      </w:r>
    </w:p>
    <w:p>
      <w:pPr>
        <w:numPr>
          <w:ilvl w:val="2"/>
          <w:numId w:val="21"/>
        </w:numPr>
        <w:tabs>
          <w:tab w:val="left" w:pos="840"/>
        </w:tabs>
        <w:ind w:left="844" w:leftChars="50" w:hanging="744" w:hangingChars="310"/>
        <w:rPr>
          <w:rFonts w:asciiTheme="minorEastAsia" w:hAnsiTheme="minorEastAsia"/>
          <w:sz w:val="24"/>
        </w:rPr>
      </w:pPr>
      <w:r>
        <w:rPr>
          <w:rFonts w:hint="eastAsia" w:asciiTheme="minorEastAsia" w:hAnsiTheme="minorEastAsia"/>
          <w:sz w:val="24"/>
        </w:rPr>
        <w:t>投标人在合同签订后，应按招标人要求按时履行合同。</w:t>
      </w:r>
    </w:p>
    <w:p>
      <w:pPr>
        <w:pStyle w:val="55"/>
        <w:spacing w:line="520" w:lineRule="exact"/>
        <w:rPr>
          <w:rFonts w:asciiTheme="minorEastAsia" w:hAnsiTheme="minorEastAsia" w:eastAsiaTheme="minorEastAsia"/>
        </w:rPr>
      </w:pPr>
      <w:bookmarkStart w:id="130" w:name="_Toc164062666"/>
      <w:bookmarkStart w:id="131" w:name="_Toc164155934"/>
      <w:bookmarkStart w:id="132" w:name="_Toc70412938"/>
      <w:bookmarkStart w:id="133" w:name="_Toc249321978"/>
      <w:bookmarkStart w:id="134" w:name="_Toc249322073"/>
      <w:bookmarkStart w:id="135" w:name="_Toc249321830"/>
      <w:bookmarkStart w:id="136" w:name="_Toc249329266"/>
      <w:bookmarkStart w:id="137" w:name="_Toc164155676"/>
      <w:bookmarkStart w:id="138" w:name="_Toc249328988"/>
      <w:bookmarkStart w:id="139" w:name="_Toc249329095"/>
      <w:bookmarkStart w:id="140" w:name="_Toc164138398"/>
      <w:bookmarkStart w:id="141" w:name="_Toc249266170"/>
      <w:bookmarkStart w:id="142" w:name="_Toc28340712"/>
      <w:bookmarkStart w:id="143" w:name="_Toc164158488"/>
      <w:r>
        <w:rPr>
          <w:rFonts w:hint="eastAsia" w:asciiTheme="minorEastAsia" w:hAnsiTheme="minorEastAsia" w:eastAsiaTheme="minorEastAsia"/>
        </w:rPr>
        <w:t>纪律与保密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numPr>
          <w:ilvl w:val="1"/>
          <w:numId w:val="22"/>
        </w:numPr>
        <w:ind w:left="624" w:hanging="624" w:hangingChars="260"/>
        <w:rPr>
          <w:rFonts w:asciiTheme="minorEastAsia" w:hAnsiTheme="minorEastAsia"/>
          <w:sz w:val="24"/>
        </w:rPr>
      </w:pPr>
      <w:r>
        <w:rPr>
          <w:rFonts w:hint="eastAsia" w:asciiTheme="minorEastAsia" w:hAnsiTheme="minorEastAsia"/>
          <w:sz w:val="24"/>
        </w:rPr>
        <w:t>从投标截止日期到授予合同时止，有关投标文件的审查、澄清、评议以及有关授予合同的意向等一切情况都不得透露给投标人或与上述工作无关的单位和个人。</w:t>
      </w:r>
    </w:p>
    <w:p>
      <w:pPr>
        <w:numPr>
          <w:ilvl w:val="1"/>
          <w:numId w:val="22"/>
        </w:numPr>
        <w:ind w:left="624" w:hanging="624" w:hangingChars="260"/>
        <w:rPr>
          <w:rFonts w:asciiTheme="minorEastAsia" w:hAnsiTheme="minorEastAsia"/>
          <w:sz w:val="24"/>
        </w:rPr>
      </w:pPr>
      <w:r>
        <w:rPr>
          <w:rFonts w:hint="eastAsia" w:asciiTheme="minorEastAsia" w:hAnsiTheme="minorEastAsia"/>
          <w:sz w:val="24"/>
        </w:rPr>
        <w:t>参与评标的人员应严格遵守国家有关保密的法律、法规和规定，严格自律，并接受上级主管部门和有关部门的审计和监督。</w:t>
      </w:r>
    </w:p>
    <w:p>
      <w:pPr>
        <w:numPr>
          <w:ilvl w:val="1"/>
          <w:numId w:val="22"/>
        </w:numPr>
        <w:ind w:left="624" w:hanging="624" w:hangingChars="260"/>
        <w:rPr>
          <w:rFonts w:asciiTheme="minorEastAsia" w:hAnsiTheme="minorEastAsia"/>
          <w:sz w:val="24"/>
        </w:rPr>
      </w:pPr>
      <w:r>
        <w:rPr>
          <w:rFonts w:hint="eastAsia" w:asciiTheme="minorEastAsia" w:hAnsiTheme="minorEastAsia"/>
          <w:sz w:val="24"/>
        </w:rPr>
        <w:t>投标人申报的关于资质、业绩等的文件和材料必须真实准确，不得弄虚作假。</w:t>
      </w:r>
    </w:p>
    <w:p>
      <w:pPr>
        <w:numPr>
          <w:ilvl w:val="1"/>
          <w:numId w:val="22"/>
        </w:numPr>
        <w:ind w:left="624" w:hanging="624" w:hangingChars="260"/>
        <w:rPr>
          <w:rFonts w:asciiTheme="minorEastAsia" w:hAnsiTheme="minorEastAsia"/>
          <w:sz w:val="24"/>
        </w:rPr>
      </w:pPr>
      <w:r>
        <w:rPr>
          <w:rFonts w:hint="eastAsia" w:asciiTheme="minorEastAsia" w:hAnsiTheme="minorEastAsia"/>
          <w:sz w:val="24"/>
        </w:rPr>
        <w:t>投标人不得串通作弊，哄抬标价，致使定标困难或无法定标。</w:t>
      </w:r>
    </w:p>
    <w:p>
      <w:pPr>
        <w:numPr>
          <w:ilvl w:val="1"/>
          <w:numId w:val="22"/>
        </w:numPr>
        <w:ind w:left="624" w:hanging="624" w:hangingChars="260"/>
        <w:rPr>
          <w:rFonts w:asciiTheme="minorEastAsia" w:hAnsiTheme="minorEastAsia"/>
          <w:sz w:val="24"/>
        </w:rPr>
      </w:pPr>
      <w:bookmarkStart w:id="144" w:name="_Toc16501914"/>
      <w:r>
        <w:rPr>
          <w:rFonts w:hint="eastAsia" w:asciiTheme="minorEastAsia" w:hAnsiTheme="minorEastAsia"/>
          <w:sz w:val="24"/>
        </w:rPr>
        <w:t>投标不得采用不正当手段妨碍、排挤其他投标人，扰乱招标市场，破坏公平竞争。</w:t>
      </w:r>
      <w:bookmarkEnd w:id="144"/>
    </w:p>
    <w:p>
      <w:pPr>
        <w:numPr>
          <w:ilvl w:val="1"/>
          <w:numId w:val="22"/>
        </w:numPr>
        <w:ind w:left="624" w:hanging="624" w:hangingChars="260"/>
        <w:rPr>
          <w:rFonts w:asciiTheme="minorEastAsia" w:hAnsiTheme="minorEastAsia"/>
          <w:sz w:val="24"/>
        </w:rPr>
      </w:pPr>
      <w:r>
        <w:rPr>
          <w:rFonts w:hint="eastAsia" w:asciiTheme="minorEastAsia" w:hAnsiTheme="minorEastAsia"/>
          <w:sz w:val="24"/>
        </w:rPr>
        <w:t>投标人不得以任何形式打听和搜集评标机密，不得以任何形式干扰评标或授标工作。</w:t>
      </w:r>
    </w:p>
    <w:p>
      <w:pPr>
        <w:numPr>
          <w:ilvl w:val="1"/>
          <w:numId w:val="22"/>
        </w:numPr>
        <w:ind w:left="624" w:hanging="624" w:hangingChars="260"/>
        <w:rPr>
          <w:rFonts w:asciiTheme="minorEastAsia" w:hAnsiTheme="minorEastAsia"/>
          <w:sz w:val="24"/>
        </w:rPr>
      </w:pPr>
      <w:r>
        <w:rPr>
          <w:rFonts w:hint="eastAsia" w:asciiTheme="minorEastAsia" w:hAnsiTheme="minorEastAsia"/>
          <w:sz w:val="24"/>
        </w:rPr>
        <w:t>投标人若违反上述要求，其投标将被废除。</w:t>
      </w:r>
    </w:p>
    <w:p>
      <w:pPr>
        <w:numPr>
          <w:ilvl w:val="1"/>
          <w:numId w:val="22"/>
        </w:numPr>
        <w:ind w:left="624" w:hanging="624" w:hangingChars="260"/>
        <w:rPr>
          <w:rFonts w:asciiTheme="minorEastAsia" w:hAnsiTheme="minorEastAsia"/>
          <w:sz w:val="24"/>
        </w:rPr>
      </w:pPr>
      <w:r>
        <w:rPr>
          <w:rFonts w:hint="eastAsia" w:asciiTheme="minorEastAsia" w:hAnsiTheme="minorEastAsia"/>
          <w:sz w:val="24"/>
        </w:rPr>
        <w:t>投标人不得将招标文件进行复制和外传他人。</w:t>
      </w:r>
    </w:p>
    <w:p>
      <w:pPr>
        <w:pStyle w:val="55"/>
        <w:spacing w:line="520" w:lineRule="exact"/>
        <w:rPr>
          <w:rFonts w:asciiTheme="minorEastAsia" w:hAnsiTheme="minorEastAsia" w:eastAsiaTheme="minorEastAsia"/>
        </w:rPr>
      </w:pPr>
      <w:bookmarkStart w:id="145" w:name="_Toc164138399"/>
      <w:bookmarkStart w:id="146" w:name="_Toc164062667"/>
      <w:bookmarkStart w:id="147" w:name="_Toc249321979"/>
      <w:bookmarkStart w:id="148" w:name="_Toc249321831"/>
      <w:bookmarkStart w:id="149" w:name="_Toc249266171"/>
      <w:bookmarkStart w:id="150" w:name="_Toc249322074"/>
      <w:bookmarkStart w:id="151" w:name="_Toc164158489"/>
      <w:bookmarkStart w:id="152" w:name="_Toc164155677"/>
      <w:bookmarkStart w:id="153" w:name="_Toc249329267"/>
      <w:bookmarkStart w:id="154" w:name="_Toc164155935"/>
      <w:bookmarkStart w:id="155" w:name="_Toc249329096"/>
      <w:bookmarkStart w:id="156" w:name="_Toc249328989"/>
      <w:bookmarkStart w:id="157" w:name="_Toc28340713"/>
      <w:bookmarkStart w:id="158" w:name="_Toc70412939"/>
      <w:r>
        <w:rPr>
          <w:rFonts w:hint="eastAsia" w:asciiTheme="minorEastAsia" w:hAnsiTheme="minorEastAsia" w:eastAsiaTheme="minorEastAsia"/>
        </w:rPr>
        <w:t>投标费用</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rPr>
          <w:rFonts w:hint="default" w:eastAsiaTheme="minorEastAsia"/>
          <w:lang w:val="en-US" w:eastAsia="zh-CN"/>
        </w:rPr>
      </w:pPr>
      <w:r>
        <w:rPr>
          <w:rFonts w:hint="eastAsia" w:asciiTheme="minorEastAsia" w:hAnsiTheme="minorEastAsia"/>
          <w:lang w:val="en-US" w:eastAsia="zh-CN"/>
        </w:rPr>
        <w:t xml:space="preserve">        </w:t>
      </w:r>
    </w:p>
    <w:p>
      <w:pPr>
        <w:ind w:firstLine="480" w:firstLineChars="200"/>
        <w:rPr>
          <w:rFonts w:asciiTheme="minorEastAsia" w:hAnsiTheme="minorEastAsia"/>
          <w:bCs/>
          <w:sz w:val="24"/>
        </w:rPr>
      </w:pPr>
      <w:r>
        <w:rPr>
          <w:rFonts w:hint="eastAsia" w:asciiTheme="minorEastAsia" w:hAnsiTheme="minorEastAsia"/>
          <w:bCs/>
          <w:sz w:val="24"/>
        </w:rPr>
        <w:t>11.1</w:t>
      </w:r>
      <w:r>
        <w:rPr>
          <w:rFonts w:hint="eastAsia" w:asciiTheme="minorEastAsia" w:hAnsiTheme="minorEastAsia"/>
          <w:b/>
          <w:bCs/>
          <w:sz w:val="24"/>
        </w:rPr>
        <w:t>投标人需在收到招标文件后缴纳投标保证金</w:t>
      </w:r>
      <w:r>
        <w:rPr>
          <w:rFonts w:hint="eastAsia" w:asciiTheme="minorEastAsia" w:hAnsiTheme="minorEastAsia"/>
          <w:b/>
          <w:bCs/>
          <w:sz w:val="24"/>
          <w:lang w:val="en-US" w:eastAsia="zh-CN"/>
        </w:rPr>
        <w:t>贰</w:t>
      </w:r>
      <w:r>
        <w:rPr>
          <w:rFonts w:hint="eastAsia" w:asciiTheme="minorEastAsia" w:hAnsiTheme="minorEastAsia"/>
          <w:b/>
          <w:bCs/>
          <w:sz w:val="24"/>
        </w:rPr>
        <w:t>万元</w:t>
      </w:r>
      <w:r>
        <w:rPr>
          <w:rFonts w:hint="eastAsia" w:asciiTheme="minorEastAsia" w:hAnsiTheme="minorEastAsia"/>
          <w:bCs/>
          <w:sz w:val="24"/>
        </w:rPr>
        <w:t>，打款至以下账户：</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40"/>
        <w:jc w:val="both"/>
        <w:rPr>
          <w:rFonts w:hint="eastAsia" w:asciiTheme="minorEastAsia" w:hAnsiTheme="minorEastAsia" w:eastAsiaTheme="minorEastAsia" w:cstheme="minorEastAsia"/>
          <w:bCs/>
          <w:sz w:val="24"/>
          <w:szCs w:val="22"/>
          <w:lang w:val="en-US" w:eastAsia="zh-CN" w:bidi="ar-SA"/>
        </w:rPr>
      </w:pPr>
      <w:r>
        <w:rPr>
          <w:rFonts w:hint="eastAsia" w:asciiTheme="minorEastAsia" w:hAnsiTheme="minorEastAsia" w:eastAsiaTheme="minorEastAsia" w:cstheme="minorEastAsia"/>
          <w:bCs/>
          <w:sz w:val="24"/>
          <w:szCs w:val="22"/>
          <w:lang w:val="en-US" w:eastAsia="zh-CN" w:bidi="ar-SA"/>
        </w:rPr>
        <w:t>单位名称：河北建工物流有限公司</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40"/>
        <w:jc w:val="both"/>
        <w:rPr>
          <w:rFonts w:hint="eastAsia" w:asciiTheme="minorEastAsia" w:hAnsiTheme="minorEastAsia" w:eastAsiaTheme="minorEastAsia" w:cstheme="minorEastAsia"/>
          <w:bCs/>
          <w:sz w:val="24"/>
          <w:szCs w:val="22"/>
          <w:lang w:val="en-US" w:eastAsia="zh-CN" w:bidi="ar-SA"/>
        </w:rPr>
      </w:pP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40"/>
        <w:jc w:val="both"/>
        <w:rPr>
          <w:rFonts w:hint="eastAsia" w:asciiTheme="minorEastAsia" w:hAnsiTheme="minorEastAsia" w:eastAsiaTheme="minorEastAsia" w:cstheme="minorEastAsia"/>
          <w:bCs/>
          <w:sz w:val="24"/>
          <w:szCs w:val="22"/>
          <w:lang w:val="en-US" w:eastAsia="zh-CN" w:bidi="ar-SA"/>
        </w:rPr>
      </w:pPr>
      <w:r>
        <w:rPr>
          <w:rFonts w:hint="eastAsia" w:asciiTheme="minorEastAsia" w:hAnsiTheme="minorEastAsia" w:eastAsiaTheme="minorEastAsia" w:cstheme="minorEastAsia"/>
          <w:bCs/>
          <w:sz w:val="24"/>
          <w:szCs w:val="22"/>
          <w:lang w:val="en-US" w:eastAsia="zh-CN" w:bidi="ar-SA"/>
        </w:rPr>
        <w:t>开户银行：光大银行石家庄西王支行</w:t>
      </w:r>
    </w:p>
    <w:p>
      <w:pPr>
        <w:ind w:firstLine="720" w:firstLineChars="300"/>
        <w:rPr>
          <w:rFonts w:hint="eastAsia" w:asciiTheme="minorEastAsia" w:hAnsiTheme="minorEastAsia" w:eastAsiaTheme="minorEastAsia" w:cstheme="minorEastAsia"/>
          <w:bCs/>
          <w:sz w:val="24"/>
          <w:szCs w:val="22"/>
          <w:lang w:val="en-US" w:eastAsia="zh-CN" w:bidi="ar-SA"/>
        </w:rPr>
      </w:pPr>
      <w:r>
        <w:rPr>
          <w:rFonts w:hint="eastAsia" w:asciiTheme="minorEastAsia" w:hAnsiTheme="minorEastAsia" w:eastAsiaTheme="minorEastAsia" w:cstheme="minorEastAsia"/>
          <w:bCs/>
          <w:sz w:val="24"/>
          <w:szCs w:val="22"/>
          <w:lang w:val="en-US" w:eastAsia="zh-CN" w:bidi="ar-SA"/>
        </w:rPr>
        <w:t>账户：75220188000078821 </w:t>
      </w:r>
    </w:p>
    <w:p>
      <w:pPr>
        <w:ind w:firstLine="720" w:firstLineChars="300"/>
        <w:rPr>
          <w:rFonts w:asciiTheme="minorEastAsia" w:hAnsiTheme="minorEastAsia"/>
          <w:bCs/>
          <w:sz w:val="24"/>
        </w:rPr>
      </w:pPr>
      <w:r>
        <w:rPr>
          <w:rFonts w:hint="eastAsia" w:asciiTheme="minorEastAsia" w:hAnsiTheme="minorEastAsia"/>
          <w:bCs/>
          <w:sz w:val="24"/>
        </w:rPr>
        <w:t>评标结束后，未中标者，保证金将退回原打款账户。</w:t>
      </w:r>
    </w:p>
    <w:p>
      <w:pPr>
        <w:ind w:firstLine="480" w:firstLineChars="200"/>
        <w:rPr>
          <w:rFonts w:asciiTheme="minorEastAsia" w:hAnsiTheme="minorEastAsia"/>
          <w:bCs/>
          <w:sz w:val="24"/>
        </w:rPr>
      </w:pPr>
      <w:r>
        <w:rPr>
          <w:rFonts w:hint="eastAsia" w:asciiTheme="minorEastAsia" w:hAnsiTheme="minorEastAsia"/>
          <w:bCs/>
          <w:sz w:val="24"/>
        </w:rPr>
        <w:t>11.2投标人自行承担参加本次投标的一切有关费用。</w:t>
      </w:r>
      <w:r>
        <w:rPr>
          <w:rFonts w:hint="eastAsia" w:asciiTheme="minorEastAsia" w:hAnsiTheme="minorEastAsia"/>
          <w:sz w:val="24"/>
        </w:rPr>
        <w:t>不论投标的结果如何，招标机构和招标人均无义务和责任承担这些费用。</w:t>
      </w:r>
    </w:p>
    <w:p>
      <w:pPr>
        <w:rPr>
          <w:rFonts w:asciiTheme="minorEastAsia" w:hAnsiTheme="minorEastAsia"/>
        </w:rPr>
      </w:pPr>
    </w:p>
    <w:p>
      <w:pPr>
        <w:ind w:firstLine="720"/>
        <w:rPr>
          <w:rFonts w:asciiTheme="minorEastAsia" w:hAnsiTheme="minorEastAsia"/>
        </w:rPr>
      </w:pPr>
    </w:p>
    <w:p>
      <w:pPr>
        <w:ind w:firstLine="720"/>
        <w:rPr>
          <w:rFonts w:asciiTheme="minorEastAsia" w:hAnsiTheme="minorEastAsia"/>
        </w:rPr>
      </w:pPr>
    </w:p>
    <w:p>
      <w:pPr>
        <w:ind w:firstLine="720"/>
        <w:rPr>
          <w:rFonts w:asciiTheme="minorEastAsia" w:hAnsiTheme="minorEastAsia"/>
        </w:rPr>
      </w:pPr>
    </w:p>
    <w:p>
      <w:pPr>
        <w:ind w:firstLine="720"/>
        <w:rPr>
          <w:rFonts w:asciiTheme="minorEastAsia" w:hAnsiTheme="minorEastAsia"/>
        </w:rPr>
      </w:pPr>
    </w:p>
    <w:p>
      <w:pPr>
        <w:rPr>
          <w:rFonts w:asciiTheme="minorEastAsia" w:hAnsiTheme="minorEastAsia"/>
        </w:rPr>
        <w:sectPr>
          <w:headerReference r:id="rId5" w:type="default"/>
          <w:footerReference r:id="rId6" w:type="default"/>
          <w:pgSz w:w="11906" w:h="16838"/>
          <w:pgMar w:top="1304" w:right="1304" w:bottom="1304" w:left="1701" w:header="851" w:footer="992" w:gutter="0"/>
          <w:pgNumType w:start="1"/>
          <w:cols w:space="720" w:num="1"/>
          <w:docGrid w:linePitch="312" w:charSpace="0"/>
        </w:sectPr>
      </w:pPr>
    </w:p>
    <w:p>
      <w:pPr>
        <w:jc w:val="center"/>
        <w:outlineLvl w:val="0"/>
        <w:rPr>
          <w:rFonts w:asciiTheme="minorEastAsia" w:hAnsiTheme="minorEastAsia"/>
          <w:sz w:val="44"/>
        </w:rPr>
      </w:pPr>
      <w:bookmarkStart w:id="159" w:name="_Toc169516492"/>
      <w:bookmarkEnd w:id="159"/>
      <w:bookmarkStart w:id="160" w:name="_Toc164248587"/>
      <w:bookmarkEnd w:id="160"/>
      <w:bookmarkStart w:id="161" w:name="_Toc169516491"/>
      <w:bookmarkEnd w:id="161"/>
      <w:bookmarkStart w:id="162" w:name="_Toc164248585"/>
      <w:bookmarkEnd w:id="162"/>
      <w:bookmarkStart w:id="163" w:name="_Toc164225764"/>
      <w:bookmarkEnd w:id="163"/>
      <w:bookmarkStart w:id="164" w:name="_Toc164225763"/>
      <w:bookmarkEnd w:id="164"/>
      <w:bookmarkStart w:id="165" w:name="_Toc169516490"/>
      <w:bookmarkEnd w:id="165"/>
      <w:bookmarkStart w:id="166" w:name="_Toc169516493"/>
      <w:bookmarkEnd w:id="166"/>
      <w:bookmarkStart w:id="167" w:name="_Toc164225766"/>
      <w:bookmarkEnd w:id="167"/>
      <w:bookmarkStart w:id="168" w:name="_Toc164225765"/>
      <w:bookmarkEnd w:id="168"/>
      <w:bookmarkStart w:id="169" w:name="_Toc164248584"/>
      <w:bookmarkEnd w:id="169"/>
      <w:bookmarkStart w:id="170" w:name="_Toc164248586"/>
      <w:bookmarkEnd w:id="170"/>
      <w:bookmarkStart w:id="171" w:name="_Toc249321853"/>
      <w:bookmarkStart w:id="172" w:name="_Toc249322096"/>
      <w:bookmarkStart w:id="173" w:name="_Toc249322001"/>
      <w:bookmarkStart w:id="174" w:name="_Toc249329118"/>
      <w:bookmarkStart w:id="175" w:name="_Toc249266193"/>
      <w:bookmarkStart w:id="176" w:name="_Toc249329289"/>
      <w:r>
        <w:rPr>
          <w:rFonts w:hint="eastAsia" w:asciiTheme="minorEastAsia" w:hAnsiTheme="minorEastAsia"/>
          <w:sz w:val="44"/>
        </w:rPr>
        <w:t>第三卷</w:t>
      </w:r>
      <w:bookmarkEnd w:id="171"/>
      <w:bookmarkEnd w:id="172"/>
      <w:bookmarkEnd w:id="173"/>
      <w:bookmarkEnd w:id="174"/>
      <w:bookmarkEnd w:id="175"/>
      <w:bookmarkEnd w:id="176"/>
      <w:r>
        <w:rPr>
          <w:rFonts w:hint="eastAsia" w:asciiTheme="minorEastAsia" w:hAnsiTheme="minorEastAsia"/>
          <w:sz w:val="44"/>
        </w:rPr>
        <w:t xml:space="preserve"> 技术规范</w:t>
      </w:r>
    </w:p>
    <w:p>
      <w:pPr>
        <w:pStyle w:val="55"/>
        <w:numPr>
          <w:ilvl w:val="0"/>
          <w:numId w:val="23"/>
        </w:numPr>
        <w:spacing w:line="520" w:lineRule="exact"/>
        <w:rPr>
          <w:rFonts w:asciiTheme="minorEastAsia" w:hAnsiTheme="minorEastAsia" w:eastAsiaTheme="minorEastAsia"/>
        </w:rPr>
      </w:pPr>
      <w:r>
        <w:rPr>
          <w:rFonts w:asciiTheme="minorEastAsia" w:hAnsiTheme="minorEastAsia" w:eastAsiaTheme="minorEastAsia"/>
        </w:rPr>
        <w:t>工程概况</w:t>
      </w:r>
    </w:p>
    <w:p>
      <w:pPr>
        <w:adjustRightInd w:val="0"/>
        <w:ind w:firstLine="480" w:firstLineChars="200"/>
        <w:rPr>
          <w:rFonts w:asciiTheme="minorEastAsia" w:hAnsiTheme="minorEastAsia"/>
          <w:sz w:val="24"/>
        </w:rPr>
      </w:pPr>
      <w:bookmarkStart w:id="177" w:name="_Toc174864694"/>
      <w:bookmarkStart w:id="178" w:name="_Toc164854063"/>
      <w:bookmarkStart w:id="179" w:name="_Toc174864015"/>
      <w:bookmarkStart w:id="180" w:name="_Toc164854322"/>
      <w:bookmarkStart w:id="181" w:name="_Toc174863756"/>
      <w:bookmarkStart w:id="182" w:name="_Toc155241339"/>
      <w:bookmarkStart w:id="183" w:name="_Toc73452131"/>
      <w:bookmarkStart w:id="184" w:name="_Toc174863970"/>
      <w:bookmarkStart w:id="185" w:name="_Toc249329120"/>
      <w:bookmarkStart w:id="186" w:name="_Toc69267783"/>
      <w:bookmarkStart w:id="187" w:name="_Toc174864108"/>
      <w:bookmarkStart w:id="188" w:name="_Toc174863856"/>
      <w:bookmarkStart w:id="189" w:name="_Toc103324666"/>
      <w:bookmarkStart w:id="190" w:name="_Toc174864387"/>
      <w:bookmarkStart w:id="191" w:name="_Toc249266195"/>
      <w:bookmarkStart w:id="192" w:name="_Toc164848000"/>
      <w:bookmarkStart w:id="193" w:name="_Toc174864060"/>
      <w:bookmarkStart w:id="194" w:name="_Toc249329291"/>
      <w:bookmarkStart w:id="195" w:name="_Toc249321855"/>
      <w:bookmarkStart w:id="196" w:name="_Toc174863863"/>
      <w:bookmarkStart w:id="197" w:name="_Toc174864067"/>
      <w:bookmarkStart w:id="198" w:name="_Toc103324673"/>
      <w:bookmarkStart w:id="199" w:name="_Toc174864022"/>
      <w:bookmarkStart w:id="200" w:name="_Toc174864701"/>
      <w:bookmarkStart w:id="201" w:name="_Toc174863977"/>
      <w:bookmarkStart w:id="202" w:name="_Toc164854070"/>
      <w:bookmarkStart w:id="203" w:name="_Toc174864115"/>
      <w:bookmarkStart w:id="204" w:name="_Toc164848007"/>
      <w:bookmarkStart w:id="205" w:name="_Toc174864394"/>
      <w:bookmarkStart w:id="206" w:name="_Toc175538515"/>
      <w:bookmarkStart w:id="207" w:name="_Toc164854329"/>
      <w:bookmarkStart w:id="208" w:name="_Toc174863763"/>
      <w:bookmarkStart w:id="209" w:name="_Toc155241346"/>
      <w:r>
        <w:rPr>
          <w:color w:val="000000"/>
          <w:sz w:val="24"/>
        </w:rPr>
        <w:t>投标人须对招标文件技术内容部分承担保密义务，未经招标人同意不得向任何与此项目无关的第三方透露。</w:t>
      </w:r>
    </w:p>
    <w:p>
      <w:pPr>
        <w:numPr>
          <w:ilvl w:val="1"/>
          <w:numId w:val="23"/>
        </w:numPr>
        <w:spacing w:beforeLines="50"/>
        <w:ind w:left="539" w:hanging="539"/>
        <w:outlineLvl w:val="1"/>
        <w:rPr>
          <w:rFonts w:asciiTheme="minorEastAsia" w:hAnsiTheme="minorEastAsia"/>
          <w:b/>
          <w:bCs/>
          <w:sz w:val="24"/>
        </w:rPr>
      </w:pPr>
      <w:bookmarkStart w:id="210" w:name="_Toc327355140"/>
      <w:r>
        <w:rPr>
          <w:rFonts w:hint="eastAsia" w:asciiTheme="minorEastAsia" w:hAnsiTheme="minorEastAsia"/>
          <w:b/>
          <w:bCs/>
          <w:sz w:val="24"/>
        </w:rPr>
        <w:t xml:space="preserve"> 公司简介</w:t>
      </w:r>
      <w:bookmarkEnd w:id="210"/>
      <w:bookmarkStart w:id="211" w:name="_Toc327355141"/>
    </w:p>
    <w:p>
      <w:pPr>
        <w:adjustRightInd w:val="0"/>
        <w:ind w:firstLine="480" w:firstLineChars="200"/>
        <w:rPr>
          <w:color w:val="000000"/>
          <w:sz w:val="24"/>
        </w:rPr>
      </w:pPr>
      <w:r>
        <w:rPr>
          <w:rFonts w:hint="eastAsia"/>
          <w:color w:val="000000"/>
          <w:sz w:val="24"/>
        </w:rPr>
        <w:t>河北建工集团成立于1997年，经省政府批准，以省建筑工程总公司为核心企业，以省第二、第四建筑工程公司和省安装工程公司、省建筑设计研究院为紧密层企业组建了河北建工集团。同年，河北省建筑工程总公司改制为河北建工集团有限责任公司（国有独资公司），并被批准为省级国有资产授权经营机构。</w:t>
      </w:r>
    </w:p>
    <w:p>
      <w:pPr>
        <w:adjustRightInd w:val="0"/>
        <w:ind w:firstLine="480" w:firstLineChars="200"/>
        <w:rPr>
          <w:color w:val="000000"/>
          <w:sz w:val="24"/>
        </w:rPr>
      </w:pPr>
      <w:r>
        <w:rPr>
          <w:rFonts w:hint="eastAsia"/>
          <w:color w:val="000000"/>
          <w:sz w:val="24"/>
        </w:rPr>
        <w:t>经过六十年的艰苦创业，河北建工集团现已发展成为具有房屋建筑、装饰装修、工业、民用设备安装、管道、电气仪表安装、房地产开发、对外工程承包、劳务输出、进出口贸易等综合实力的国有大型建筑业企业。在集团领导班子带领下，河北建工集团积极转变发展方式，强力推进“两大主业（建筑与房地产）、五大板块”（建材物流、设计咨询、科技引领、海外业务、项目投资五大板块）战略，实现了跨越式发展， 连续入选中国企业500强和中国承包商80强，2014年分别位列第405位和第24位。荣获全国优秀质量管理先进单位、全国工程建设质量管理优秀企业、全国建筑业先进企业、创鲁班奖工程特别荣誉企业、河北百强企业、河北省最具影响力和最具成长性企业、河北省诚信企业，省重合同、守信用单位、省先进建筑施工企业、省外经工作先进单位、省AAA级劳动关系和谐企业等荣誉称号。</w:t>
      </w:r>
    </w:p>
    <w:bookmarkEnd w:id="211"/>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Pr>
        <w:pStyle w:val="55"/>
        <w:spacing w:line="520" w:lineRule="exact"/>
        <w:rPr>
          <w:rFonts w:asciiTheme="minorEastAsia" w:hAnsiTheme="minorEastAsia" w:eastAsiaTheme="minorEastAsia"/>
        </w:rPr>
      </w:pPr>
      <w:bookmarkStart w:id="212" w:name="_Toc174864061"/>
      <w:bookmarkStart w:id="213" w:name="_Toc249321856"/>
      <w:bookmarkStart w:id="214" w:name="_Toc103324667"/>
      <w:bookmarkStart w:id="215" w:name="_Toc249352270"/>
      <w:bookmarkStart w:id="216" w:name="_Toc164854064"/>
      <w:bookmarkStart w:id="217" w:name="_Toc73452132"/>
      <w:bookmarkStart w:id="218" w:name="_Toc299115701"/>
      <w:bookmarkStart w:id="219" w:name="_Toc174863857"/>
      <w:bookmarkStart w:id="220" w:name="_Toc174864388"/>
      <w:bookmarkStart w:id="221" w:name="_Toc174863757"/>
      <w:bookmarkStart w:id="222" w:name="_Toc174864695"/>
      <w:bookmarkStart w:id="223" w:name="_Toc174864016"/>
      <w:bookmarkStart w:id="224" w:name="_Toc174864109"/>
      <w:bookmarkStart w:id="225" w:name="_Toc164848001"/>
      <w:bookmarkStart w:id="226" w:name="_Toc174863971"/>
      <w:bookmarkStart w:id="227" w:name="_Toc249266196"/>
      <w:bookmarkStart w:id="228" w:name="_Toc155241340"/>
      <w:bookmarkStart w:id="229" w:name="_Toc164854323"/>
      <w:bookmarkStart w:id="230" w:name="_Toc249329121"/>
      <w:bookmarkStart w:id="231" w:name="_Toc249329292"/>
      <w:bookmarkStart w:id="232" w:name="_Toc327355143"/>
      <w:r>
        <w:rPr>
          <w:rFonts w:hint="eastAsia" w:asciiTheme="minorEastAsia" w:hAnsiTheme="minorEastAsia" w:eastAsiaTheme="minorEastAsia"/>
        </w:rPr>
        <w:t>建设</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hint="eastAsia" w:asciiTheme="minorEastAsia" w:hAnsiTheme="minorEastAsia" w:eastAsiaTheme="minorEastAsia"/>
        </w:rPr>
        <w:t>内容及要求</w:t>
      </w:r>
      <w:bookmarkEnd w:id="232"/>
    </w:p>
    <w:p>
      <w:pPr>
        <w:numPr>
          <w:ilvl w:val="1"/>
          <w:numId w:val="23"/>
        </w:numPr>
        <w:spacing w:beforeLines="50"/>
        <w:ind w:left="539" w:hanging="539"/>
        <w:outlineLvl w:val="1"/>
        <w:rPr>
          <w:rFonts w:asciiTheme="minorEastAsia" w:hAnsiTheme="minorEastAsia"/>
          <w:b/>
          <w:sz w:val="24"/>
        </w:rPr>
      </w:pPr>
      <w:bookmarkStart w:id="233" w:name="_Toc327355144"/>
      <w:r>
        <w:rPr>
          <w:rFonts w:hint="eastAsia" w:asciiTheme="minorEastAsia" w:hAnsiTheme="minorEastAsia"/>
          <w:b/>
          <w:sz w:val="24"/>
        </w:rPr>
        <w:t>建设目标</w:t>
      </w:r>
      <w:bookmarkEnd w:id="233"/>
      <w:r>
        <w:rPr>
          <w:rFonts w:hint="eastAsia" w:asciiTheme="minorEastAsia" w:hAnsiTheme="minorEastAsia"/>
          <w:b/>
          <w:sz w:val="24"/>
        </w:rPr>
        <w:t>和概况</w:t>
      </w:r>
    </w:p>
    <w:p>
      <w:pPr>
        <w:ind w:firstLine="420"/>
      </w:pPr>
      <w:r>
        <w:rPr>
          <w:rFonts w:hint="eastAsia" w:asciiTheme="minorEastAsia" w:hAnsiTheme="minorEastAsia"/>
          <w:sz w:val="24"/>
        </w:rPr>
        <w:t>河北建工集团计划采购一批服务器以及相关设备，来实现局域网内PC登陆虚拟机进行BIM建模、渲染等，同时满足传输安全、接入安全、数据安全的需求。</w:t>
      </w:r>
    </w:p>
    <w:p>
      <w:pPr>
        <w:numPr>
          <w:ilvl w:val="1"/>
          <w:numId w:val="23"/>
        </w:numPr>
        <w:spacing w:beforeLines="50"/>
        <w:ind w:left="539" w:hanging="539"/>
        <w:outlineLvl w:val="1"/>
        <w:rPr>
          <w:rFonts w:asciiTheme="minorEastAsia" w:hAnsiTheme="minorEastAsia"/>
          <w:b/>
          <w:sz w:val="24"/>
        </w:rPr>
      </w:pPr>
      <w:r>
        <w:rPr>
          <w:rFonts w:hint="eastAsia" w:asciiTheme="minorEastAsia" w:hAnsiTheme="minorEastAsia"/>
          <w:b/>
          <w:sz w:val="24"/>
        </w:rPr>
        <w:t>建设工期</w:t>
      </w:r>
    </w:p>
    <w:p>
      <w:pPr>
        <w:ind w:firstLine="480" w:firstLineChars="200"/>
        <w:rPr>
          <w:rFonts w:asciiTheme="minorEastAsia" w:hAnsiTheme="minorEastAsia"/>
          <w:sz w:val="24"/>
          <w:highlight w:val="yellow"/>
        </w:rPr>
      </w:pPr>
      <w:r>
        <w:rPr>
          <w:color w:val="000000"/>
          <w:sz w:val="24"/>
        </w:rPr>
        <w:t>自合同签订之日起</w:t>
      </w:r>
      <w:r>
        <w:rPr>
          <w:rFonts w:hint="eastAsia"/>
          <w:color w:val="000000"/>
          <w:sz w:val="24"/>
        </w:rPr>
        <w:t>，15日内货到现场，7日内安装调试完毕，30日内测试完毕</w:t>
      </w:r>
      <w:r>
        <w:rPr>
          <w:rFonts w:hint="eastAsia" w:asciiTheme="minorEastAsia" w:hAnsiTheme="minorEastAsia"/>
          <w:sz w:val="24"/>
        </w:rPr>
        <w:t>。</w:t>
      </w:r>
      <w:bookmarkStart w:id="234" w:name="_Toc184534633"/>
      <w:bookmarkStart w:id="235" w:name="_Toc78549297"/>
      <w:bookmarkStart w:id="236" w:name="_Toc114289052"/>
      <w:bookmarkStart w:id="237" w:name="_Toc137186210"/>
      <w:bookmarkStart w:id="238" w:name="_Toc65641182"/>
      <w:bookmarkStart w:id="239" w:name="_Toc114289238"/>
      <w:bookmarkStart w:id="240" w:name="_Toc137259573"/>
      <w:bookmarkStart w:id="241" w:name="_Toc137167485"/>
      <w:bookmarkStart w:id="242" w:name="_Toc81989506"/>
      <w:bookmarkStart w:id="243" w:name="_Toc65498461"/>
      <w:bookmarkStart w:id="244" w:name="_Toc72678851"/>
      <w:bookmarkStart w:id="245" w:name="_Toc78548192"/>
      <w:bookmarkStart w:id="246" w:name="_Toc114875957"/>
      <w:bookmarkStart w:id="247" w:name="_Toc79140863"/>
      <w:bookmarkStart w:id="248" w:name="_Toc65846758"/>
      <w:bookmarkStart w:id="249" w:name="_Toc113926186"/>
      <w:bookmarkStart w:id="250" w:name="_Toc65597807"/>
      <w:bookmarkStart w:id="251" w:name="_Toc137167725"/>
      <w:bookmarkStart w:id="252" w:name="_Toc78548755"/>
      <w:bookmarkStart w:id="253" w:name="_Toc117244077"/>
      <w:bookmarkStart w:id="254" w:name="_Toc119169262"/>
      <w:bookmarkStart w:id="255" w:name="_Toc137271017"/>
      <w:bookmarkStart w:id="256" w:name="_Toc113877945"/>
      <w:bookmarkStart w:id="257" w:name="_Toc78548998"/>
      <w:bookmarkStart w:id="258" w:name="_Toc118008557"/>
      <w:bookmarkStart w:id="259" w:name="_Toc80672010"/>
      <w:bookmarkStart w:id="260" w:name="_Toc115780544"/>
      <w:bookmarkStart w:id="261" w:name="_Toc72915146"/>
      <w:bookmarkStart w:id="262" w:name="_Toc114289379"/>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Pr>
        <w:pStyle w:val="55"/>
        <w:spacing w:line="520" w:lineRule="exact"/>
        <w:rPr>
          <w:rFonts w:asciiTheme="minorEastAsia" w:hAnsiTheme="minorEastAsia" w:eastAsiaTheme="minorEastAsia"/>
        </w:rPr>
      </w:pPr>
      <w:r>
        <w:rPr>
          <w:rFonts w:asciiTheme="minorEastAsia" w:hAnsiTheme="minorEastAsia" w:eastAsiaTheme="minorEastAsia"/>
        </w:rPr>
        <w:t>工程内容</w:t>
      </w:r>
    </w:p>
    <w:p>
      <w:pPr>
        <w:spacing w:beforeLines="50"/>
        <w:outlineLvl w:val="1"/>
        <w:rPr>
          <w:rFonts w:asciiTheme="minorEastAsia" w:hAnsiTheme="minorEastAsia"/>
          <w:b/>
          <w:sz w:val="24"/>
        </w:rPr>
      </w:pPr>
      <w:bookmarkStart w:id="263" w:name="_Toc392577996"/>
      <w:r>
        <w:rPr>
          <w:rFonts w:hint="eastAsia" w:asciiTheme="minorEastAsia" w:hAnsiTheme="minorEastAsia"/>
          <w:b/>
          <w:sz w:val="24"/>
        </w:rPr>
        <w:t>3.1</w:t>
      </w:r>
      <w:r>
        <w:rPr>
          <w:rFonts w:asciiTheme="minorEastAsia" w:hAnsiTheme="minorEastAsia"/>
          <w:b/>
          <w:sz w:val="24"/>
        </w:rPr>
        <w:t xml:space="preserve"> </w:t>
      </w:r>
      <w:bookmarkEnd w:id="263"/>
      <w:r>
        <w:rPr>
          <w:rFonts w:asciiTheme="minorEastAsia" w:hAnsiTheme="minorEastAsia"/>
          <w:b/>
          <w:sz w:val="24"/>
        </w:rPr>
        <w:t>本</w:t>
      </w:r>
      <w:r>
        <w:rPr>
          <w:rFonts w:hint="eastAsia" w:asciiTheme="minorEastAsia" w:hAnsiTheme="minorEastAsia"/>
          <w:b/>
          <w:sz w:val="24"/>
        </w:rPr>
        <w:t>次采购</w:t>
      </w:r>
      <w:r>
        <w:rPr>
          <w:rFonts w:asciiTheme="minorEastAsia" w:hAnsiTheme="minorEastAsia"/>
          <w:b/>
          <w:sz w:val="24"/>
        </w:rPr>
        <w:t>内容包括以下几部分：</w:t>
      </w:r>
    </w:p>
    <w:p>
      <w:pPr>
        <w:rPr>
          <w:rFonts w:asciiTheme="minorEastAsia" w:hAnsiTheme="minorEastAsia"/>
          <w:sz w:val="24"/>
        </w:rPr>
      </w:pPr>
      <w:r>
        <w:rPr>
          <w:rFonts w:hint="eastAsia" w:asciiTheme="minorEastAsia" w:hAnsiTheme="minorEastAsia"/>
          <w:sz w:val="24"/>
        </w:rPr>
        <w:t>3.1.1</w:t>
      </w:r>
      <w:r>
        <w:rPr>
          <w:rFonts w:asciiTheme="minorEastAsia" w:hAnsiTheme="minorEastAsia"/>
          <w:sz w:val="24"/>
        </w:rPr>
        <w:t xml:space="preserve"> </w:t>
      </w:r>
      <w:r>
        <w:rPr>
          <w:rFonts w:hint="eastAsia" w:asciiTheme="minorEastAsia" w:hAnsiTheme="minorEastAsia"/>
          <w:sz w:val="24"/>
        </w:rPr>
        <w:t>服务器；</w:t>
      </w:r>
    </w:p>
    <w:p>
      <w:pPr>
        <w:rPr>
          <w:rFonts w:asciiTheme="minorEastAsia" w:hAnsiTheme="minorEastAsia"/>
          <w:sz w:val="24"/>
        </w:rPr>
      </w:pPr>
      <w:r>
        <w:rPr>
          <w:rFonts w:hint="eastAsia" w:asciiTheme="minorEastAsia" w:hAnsiTheme="minorEastAsia"/>
          <w:sz w:val="24"/>
        </w:rPr>
        <w:t>3.1.2</w:t>
      </w:r>
      <w:r>
        <w:rPr>
          <w:rFonts w:asciiTheme="minorEastAsia" w:hAnsiTheme="minorEastAsia"/>
          <w:sz w:val="24"/>
        </w:rPr>
        <w:t xml:space="preserve"> </w:t>
      </w:r>
      <w:r>
        <w:rPr>
          <w:rFonts w:hint="eastAsia" w:asciiTheme="minorEastAsia" w:hAnsiTheme="minorEastAsia"/>
          <w:sz w:val="24"/>
        </w:rPr>
        <w:t>虚拟化及相关授权；</w:t>
      </w:r>
    </w:p>
    <w:p>
      <w:pPr>
        <w:rPr>
          <w:rFonts w:asciiTheme="minorEastAsia" w:hAnsiTheme="minorEastAsia"/>
          <w:sz w:val="24"/>
        </w:rPr>
      </w:pPr>
      <w:r>
        <w:rPr>
          <w:rFonts w:hint="eastAsia" w:asciiTheme="minorEastAsia" w:hAnsiTheme="minorEastAsia"/>
          <w:sz w:val="24"/>
        </w:rPr>
        <w:t>3.1.3 桌面超融合操作系统；</w:t>
      </w:r>
    </w:p>
    <w:p>
      <w:pPr>
        <w:rPr>
          <w:rFonts w:asciiTheme="minorEastAsia" w:hAnsiTheme="minorEastAsia"/>
          <w:sz w:val="24"/>
        </w:rPr>
      </w:pPr>
      <w:r>
        <w:rPr>
          <w:rFonts w:hint="eastAsia" w:asciiTheme="minorEastAsia" w:hAnsiTheme="minorEastAsia"/>
          <w:sz w:val="24"/>
        </w:rPr>
        <w:t>3.1.</w:t>
      </w:r>
      <w:r>
        <w:rPr>
          <w:rFonts w:asciiTheme="minorEastAsia" w:hAnsiTheme="minorEastAsia"/>
          <w:sz w:val="24"/>
        </w:rPr>
        <w:t>4</w:t>
      </w:r>
      <w:r>
        <w:rPr>
          <w:rFonts w:hint="eastAsia" w:asciiTheme="minorEastAsia" w:hAnsiTheme="minorEastAsia"/>
          <w:sz w:val="24"/>
        </w:rPr>
        <w:t xml:space="preserve"> 交换机；</w:t>
      </w:r>
    </w:p>
    <w:p>
      <w:pPr>
        <w:rPr>
          <w:rFonts w:asciiTheme="minorEastAsia" w:hAnsiTheme="minorEastAsia"/>
          <w:sz w:val="24"/>
        </w:rPr>
      </w:pPr>
      <w:r>
        <w:rPr>
          <w:rFonts w:hint="eastAsia" w:asciiTheme="minorEastAsia" w:hAnsiTheme="minorEastAsia"/>
          <w:sz w:val="24"/>
        </w:rPr>
        <w:t>3.1.5 其他相应配件；</w:t>
      </w:r>
    </w:p>
    <w:p>
      <w:pPr>
        <w:pStyle w:val="55"/>
        <w:spacing w:line="520" w:lineRule="exact"/>
        <w:rPr>
          <w:rFonts w:asciiTheme="minorEastAsia" w:hAnsiTheme="minorEastAsia" w:eastAsiaTheme="minorEastAsia"/>
        </w:rPr>
      </w:pPr>
      <w:r>
        <w:rPr>
          <w:rFonts w:asciiTheme="minorEastAsia" w:hAnsiTheme="minorEastAsia" w:eastAsiaTheme="minorEastAsia"/>
        </w:rPr>
        <w:t>主要设备及施工技术参数要求</w:t>
      </w:r>
    </w:p>
    <w:p/>
    <w:p>
      <w:pPr>
        <w:pStyle w:val="161"/>
        <w:numPr>
          <w:ilvl w:val="0"/>
          <w:numId w:val="24"/>
        </w:numPr>
        <w:ind w:firstLineChars="0"/>
        <w:rPr>
          <w:rFonts w:ascii="微软雅黑" w:hAnsi="微软雅黑" w:eastAsia="微软雅黑"/>
          <w:b/>
        </w:rPr>
      </w:pPr>
      <w:r>
        <w:rPr>
          <w:rFonts w:hint="eastAsia" w:ascii="微软雅黑" w:hAnsi="微软雅黑" w:eastAsia="微软雅黑"/>
          <w:b/>
        </w:rPr>
        <w:t>服务器主机</w:t>
      </w:r>
    </w:p>
    <w:tbl>
      <w:tblPr>
        <w:tblStyle w:val="3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技术指标</w:t>
            </w:r>
          </w:p>
        </w:tc>
        <w:tc>
          <w:tcPr>
            <w:tcW w:w="7132"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数量要求</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w:t>
            </w:r>
            <w:r>
              <w:rPr>
                <w:rFonts w:hint="eastAsia" w:ascii="微软雅黑" w:hAnsi="微软雅黑" w:eastAsia="微软雅黑"/>
                <w:kern w:val="2"/>
                <w:sz w:val="21"/>
                <w:szCs w:val="22"/>
                <w:lang w:val="en-US" w:eastAsia="zh-CN"/>
              </w:rPr>
              <w:t>2</w:t>
            </w:r>
            <w:r>
              <w:rPr>
                <w:rFonts w:hint="eastAsia" w:ascii="微软雅黑" w:hAnsi="微软雅黑" w:eastAsia="微软雅黑"/>
                <w:kern w:val="2"/>
                <w:sz w:val="21"/>
                <w:szCs w:val="22"/>
              </w:rPr>
              <w:t>台，出厂时必须预装各类桌面云软件（含服务器虚拟化、存储虚拟化等），不允许提供祼机设备。</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★提供低成本、高可靠的存储方案。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硬件规格</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★本项目要求</w:t>
            </w:r>
            <w:r>
              <w:rPr>
                <w:rFonts w:hint="eastAsia" w:ascii="微软雅黑" w:hAnsi="微软雅黑" w:eastAsia="微软雅黑"/>
                <w:kern w:val="2"/>
                <w:sz w:val="21"/>
                <w:szCs w:val="22"/>
                <w:lang w:val="en-US" w:eastAsia="zh-CN"/>
              </w:rPr>
              <w:t>每台</w:t>
            </w:r>
            <w:r>
              <w:rPr>
                <w:rFonts w:hint="eastAsia" w:ascii="微软雅黑" w:hAnsi="微软雅黑" w:eastAsia="微软雅黑"/>
                <w:kern w:val="2"/>
                <w:sz w:val="21"/>
                <w:szCs w:val="22"/>
              </w:rPr>
              <w:t>设备至少配备2个CPU，CPU核数≥14（主频不低于3</w:t>
            </w:r>
            <w:r>
              <w:rPr>
                <w:rFonts w:ascii="微软雅黑" w:hAnsi="微软雅黑" w:eastAsia="微软雅黑"/>
                <w:kern w:val="2"/>
                <w:sz w:val="21"/>
                <w:szCs w:val="22"/>
              </w:rPr>
              <w:t>.2</w:t>
            </w:r>
            <w:r>
              <w:rPr>
                <w:rFonts w:hint="eastAsia" w:ascii="微软雅黑" w:hAnsi="微软雅黑" w:eastAsia="微软雅黑"/>
                <w:kern w:val="2"/>
                <w:sz w:val="21"/>
                <w:szCs w:val="22"/>
              </w:rPr>
              <w:t>Ghz）（CPU性能等效或高于Xeon Gold 5120）</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★内存≥1T、千兆网口≥2个、万兆网口≥2个、冗余双电源。</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★2块NVIDIA RTX8000</w:t>
            </w:r>
            <w:r>
              <w:rPr>
                <w:rFonts w:hint="eastAsia" w:ascii="微软雅黑" w:hAnsi="微软雅黑" w:eastAsia="微软雅黑"/>
                <w:kern w:val="2"/>
                <w:sz w:val="21"/>
                <w:szCs w:val="22"/>
                <w:lang w:val="en-US" w:eastAsia="zh-CN"/>
              </w:rPr>
              <w:t>或同性能及以上的</w:t>
            </w:r>
            <w:r>
              <w:rPr>
                <w:rFonts w:hint="eastAsia" w:ascii="微软雅黑" w:hAnsi="微软雅黑" w:eastAsia="微软雅黑"/>
                <w:kern w:val="2"/>
                <w:sz w:val="21"/>
                <w:szCs w:val="22"/>
              </w:rPr>
              <w:t>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安全管理</w:t>
            </w:r>
          </w:p>
        </w:tc>
        <w:tc>
          <w:tcPr>
            <w:tcW w:w="7132" w:type="dxa"/>
          </w:tcPr>
          <w:p>
            <w:pPr>
              <w:widowControl w:val="0"/>
              <w:ind w:firstLine="0" w:firstLineChars="0"/>
              <w:jc w:val="left"/>
              <w:rPr>
                <w:rFonts w:ascii="微软雅黑" w:hAnsi="微软雅黑" w:eastAsia="微软雅黑"/>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kern w:val="2"/>
                <w:sz w:val="21"/>
                <w:szCs w:val="22"/>
              </w:rPr>
              <w:t>支持应用黑白名单技术，实现全方位云桌面管控，在黑名单中可以通过配置规则禁止指定应用或进程在云桌面中运行；在白名单中通过配置规则只允许规则中的应用或进程在云桌面中运行</w:t>
            </w:r>
            <w:r>
              <w:rPr>
                <w:rFonts w:ascii="微软雅黑" w:hAnsi="微软雅黑" w:eastAsia="微软雅黑"/>
                <w:kern w:val="2"/>
                <w:sz w:val="21"/>
                <w:szCs w:val="22"/>
              </w:rPr>
              <w:t>。</w:t>
            </w:r>
          </w:p>
          <w:p>
            <w:pPr>
              <w:widowControl w:val="0"/>
              <w:ind w:firstLine="0" w:firstLineChars="0"/>
              <w:jc w:val="left"/>
              <w:rPr>
                <w:rFonts w:ascii="微软雅黑" w:hAnsi="微软雅黑" w:eastAsia="微软雅黑"/>
                <w:kern w:val="2"/>
                <w:sz w:val="21"/>
                <w:szCs w:val="22"/>
              </w:rPr>
            </w:pPr>
            <w:r>
              <w:rPr>
                <w:rFonts w:hint="eastAsia" w:ascii="微软雅黑" w:hAnsi="微软雅黑" w:eastAsia="微软雅黑"/>
                <w:kern w:val="2"/>
                <w:sz w:val="21"/>
                <w:szCs w:val="22"/>
              </w:rPr>
              <w:t>★桌面云控制器内置防火墙，包括设置过滤规则、NAT设置、访问监控、防DOS攻击、QOS上传下载规则等。</w:t>
            </w:r>
          </w:p>
          <w:p>
            <w:pPr>
              <w:widowControl w:val="0"/>
              <w:ind w:firstLine="0" w:firstLineChars="0"/>
              <w:jc w:val="both"/>
              <w:rPr>
                <w:rFonts w:ascii="Times" w:hAnsi="Times" w:eastAsia="Times New Roman" w:cs="Times New Roman"/>
                <w:kern w:val="2"/>
                <w:sz w:val="21"/>
                <w:szCs w:val="22"/>
              </w:rPr>
            </w:pPr>
            <w:r>
              <w:rPr>
                <w:rFonts w:hint="eastAsia" w:ascii="微软雅黑" w:hAnsi="微软雅黑" w:eastAsia="微软雅黑"/>
                <w:kern w:val="2"/>
                <w:sz w:val="21"/>
                <w:szCs w:val="22"/>
              </w:rPr>
              <w:t>支持临时权限，管理员为部分用户临时在某个时间段内放通</w:t>
            </w:r>
            <w:r>
              <w:rPr>
                <w:rFonts w:ascii="微软雅黑" w:hAnsi="微软雅黑" w:eastAsia="微软雅黑"/>
                <w:kern w:val="2"/>
                <w:sz w:val="21"/>
                <w:szCs w:val="22"/>
              </w:rPr>
              <w:t>usb</w:t>
            </w:r>
            <w:r>
              <w:rPr>
                <w:rFonts w:hint="eastAsia" w:ascii="微软雅黑" w:hAnsi="微软雅黑" w:eastAsia="微软雅黑"/>
                <w:kern w:val="2"/>
                <w:sz w:val="21"/>
                <w:szCs w:val="22"/>
              </w:rPr>
              <w:t>和pc剪切板等权限，并在到期后自动回收该权限，保证数据安全。</w:t>
            </w:r>
          </w:p>
        </w:tc>
      </w:tr>
    </w:tbl>
    <w:p>
      <w:pPr>
        <w:rPr>
          <w:rFonts w:ascii="微软雅黑" w:hAnsi="微软雅黑" w:eastAsia="微软雅黑"/>
          <w:b/>
        </w:rPr>
      </w:pPr>
    </w:p>
    <w:p>
      <w:pPr>
        <w:pStyle w:val="161"/>
        <w:numPr>
          <w:ilvl w:val="0"/>
          <w:numId w:val="24"/>
        </w:numPr>
        <w:ind w:firstLineChars="0"/>
        <w:rPr>
          <w:rFonts w:ascii="微软雅黑" w:hAnsi="微软雅黑" w:eastAsia="微软雅黑"/>
          <w:b/>
        </w:rPr>
      </w:pPr>
      <w:r>
        <w:rPr>
          <w:rFonts w:hint="eastAsia" w:ascii="微软雅黑" w:hAnsi="微软雅黑" w:eastAsia="微软雅黑"/>
          <w:b/>
        </w:rPr>
        <w:t>虚拟化及相关授权</w:t>
      </w:r>
    </w:p>
    <w:p>
      <w:pPr>
        <w:pStyle w:val="161"/>
        <w:ind w:left="480" w:firstLine="0" w:firstLineChars="0"/>
        <w:rPr>
          <w:rFonts w:ascii="微软雅黑" w:hAnsi="微软雅黑" w:eastAsia="微软雅黑"/>
          <w:b/>
        </w:rPr>
      </w:pPr>
    </w:p>
    <w:tbl>
      <w:tblPr>
        <w:tblStyle w:val="3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技术指标</w:t>
            </w:r>
          </w:p>
        </w:tc>
        <w:tc>
          <w:tcPr>
            <w:tcW w:w="7132"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配置要求</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★本项目要求提供不低于</w:t>
            </w:r>
            <w:r>
              <w:rPr>
                <w:rFonts w:hint="eastAsia" w:ascii="微软雅黑" w:hAnsi="微软雅黑" w:eastAsia="微软雅黑"/>
                <w:kern w:val="2"/>
                <w:sz w:val="21"/>
                <w:szCs w:val="22"/>
                <w:lang w:val="en-US" w:eastAsia="zh-CN"/>
              </w:rPr>
              <w:t>100</w:t>
            </w:r>
            <w:r>
              <w:rPr>
                <w:rFonts w:hint="eastAsia" w:ascii="微软雅黑" w:hAnsi="微软雅黑" w:eastAsia="微软雅黑"/>
                <w:kern w:val="2"/>
                <w:sz w:val="21"/>
                <w:szCs w:val="22"/>
              </w:rPr>
              <w:t>个用户并发授权。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用户体验</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kern w:val="2"/>
                <w:sz w:val="21"/>
                <w:szCs w:val="22"/>
              </w:rPr>
              <w:t>支持云盘存储方案，包括个人云盘和公共云盘，可设置配额和读写权限，其中个人云盘绑定用户，只允许特定用户访问，公共云盘允许所有人访问。</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kern w:val="2"/>
                <w:sz w:val="21"/>
                <w:szCs w:val="22"/>
              </w:rPr>
              <w:t>云平台用户能够访问终端上的本地硬盘、光驱、U盘、移动硬盘，并且访问权限要求可控。</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kern w:val="2"/>
                <w:sz w:val="21"/>
                <w:szCs w:val="22"/>
              </w:rPr>
              <w:t>支持显示虚拟机开关机画面；支持分辨率自适应和更改分辨率，操作时要求与PC一样，即在桌面右键点击“个性化分辨率”进行设置。</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★支持远程协助功能，管理员在云桌面控制台中可以直接向需要协助的用户发起远程协助，无需安装任何辅助软件。</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★使用人员可以自定义安装各类BIM及办公软件工具。</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★虚拟桌面系统支持目前常用的 win7、win8、win10等主流系统。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显卡虚拟化</w:t>
            </w:r>
          </w:p>
        </w:tc>
        <w:tc>
          <w:tcPr>
            <w:tcW w:w="7132" w:type="dxa"/>
          </w:tcPr>
          <w:p>
            <w:pPr>
              <w:widowControl w:val="0"/>
              <w:ind w:firstLine="0" w:firstLineChars="0"/>
              <w:jc w:val="left"/>
              <w:rPr>
                <w:rFonts w:ascii="微软雅黑" w:hAnsi="微软雅黑" w:eastAsia="微软雅黑"/>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kern w:val="2"/>
                <w:sz w:val="21"/>
                <w:szCs w:val="22"/>
              </w:rPr>
              <w:t>支持显卡直通和显卡虚拟化</w:t>
            </w:r>
            <w:r>
              <w:rPr>
                <w:rFonts w:ascii="微软雅黑" w:hAnsi="微软雅黑" w:eastAsia="微软雅黑"/>
                <w:kern w:val="2"/>
                <w:sz w:val="21"/>
                <w:szCs w:val="22"/>
              </w:rPr>
              <w:t>2</w:t>
            </w:r>
            <w:r>
              <w:rPr>
                <w:rFonts w:hint="eastAsia" w:ascii="微软雅黑" w:hAnsi="微软雅黑" w:eastAsia="微软雅黑"/>
                <w:kern w:val="2"/>
                <w:sz w:val="21"/>
                <w:szCs w:val="22"/>
              </w:rPr>
              <w:t>种方案，支持≥2张显卡，，满足2D/3D图形设计软件的流畅使用，包括Revit、Navisworsk、3ds</w:t>
            </w:r>
            <w:r>
              <w:rPr>
                <w:rFonts w:ascii="微软雅黑" w:hAnsi="微软雅黑" w:eastAsia="微软雅黑"/>
                <w:kern w:val="2"/>
                <w:sz w:val="21"/>
                <w:szCs w:val="22"/>
              </w:rPr>
              <w:t xml:space="preserve"> Max、</w:t>
            </w:r>
            <w:r>
              <w:rPr>
                <w:rFonts w:hint="eastAsia" w:ascii="微软雅黑" w:hAnsi="微软雅黑" w:eastAsia="微软雅黑"/>
                <w:kern w:val="2"/>
                <w:sz w:val="21"/>
                <w:szCs w:val="22"/>
              </w:rPr>
              <w:t>Catia、UG、Solidworks、ProE、AutoCAD等。</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cs="MT Extra"/>
                <w:kern w:val="2"/>
                <w:sz w:val="21"/>
                <w:szCs w:val="22"/>
              </w:rPr>
              <w:t>★</w:t>
            </w:r>
            <w:r>
              <w:rPr>
                <w:rFonts w:ascii="微软雅黑" w:hAnsi="微软雅黑" w:eastAsia="微软雅黑"/>
                <w:kern w:val="2"/>
                <w:sz w:val="21"/>
                <w:szCs w:val="22"/>
              </w:rPr>
              <w:t>支持IO重试，当存储出现</w:t>
            </w:r>
            <w:r>
              <w:rPr>
                <w:rFonts w:hint="eastAsia" w:ascii="微软雅黑" w:hAnsi="微软雅黑" w:eastAsia="微软雅黑"/>
                <w:kern w:val="2"/>
                <w:sz w:val="21"/>
                <w:szCs w:val="22"/>
              </w:rPr>
              <w:t>故障</w:t>
            </w:r>
            <w:r>
              <w:rPr>
                <w:rFonts w:ascii="微软雅黑" w:hAnsi="微软雅黑" w:eastAsia="微软雅黑"/>
                <w:kern w:val="2"/>
                <w:sz w:val="21"/>
                <w:szCs w:val="22"/>
              </w:rPr>
              <w:t>，</w:t>
            </w:r>
            <w:r>
              <w:rPr>
                <w:rFonts w:hint="eastAsia" w:ascii="微软雅黑" w:hAnsi="微软雅黑" w:eastAsia="微软雅黑"/>
                <w:kern w:val="2"/>
                <w:sz w:val="21"/>
                <w:szCs w:val="22"/>
              </w:rPr>
              <w:t>导致</w:t>
            </w:r>
            <w:r>
              <w:rPr>
                <w:rFonts w:ascii="微软雅黑" w:hAnsi="微软雅黑" w:eastAsia="微软雅黑"/>
                <w:kern w:val="2"/>
                <w:sz w:val="21"/>
                <w:szCs w:val="22"/>
              </w:rPr>
              <w:t>虚拟机无法读取存储数据时，自动挂起虚拟机，</w:t>
            </w:r>
            <w:r>
              <w:rPr>
                <w:rFonts w:hint="eastAsia" w:ascii="微软雅黑" w:hAnsi="微软雅黑" w:eastAsia="微软雅黑"/>
                <w:kern w:val="2"/>
                <w:sz w:val="21"/>
                <w:szCs w:val="22"/>
              </w:rPr>
              <w:t>避免</w:t>
            </w:r>
            <w:r>
              <w:rPr>
                <w:rFonts w:ascii="微软雅黑" w:hAnsi="微软雅黑" w:eastAsia="微软雅黑"/>
                <w:kern w:val="2"/>
                <w:sz w:val="21"/>
                <w:szCs w:val="22"/>
              </w:rPr>
              <w:t>业务故障。</w:t>
            </w:r>
            <w:r>
              <w:rPr>
                <w:rFonts w:hint="eastAsia" w:ascii="微软雅黑" w:hAnsi="微软雅黑" w:eastAsia="微软雅黑"/>
                <w:kern w:val="2"/>
                <w:sz w:val="21"/>
                <w:szCs w:val="22"/>
              </w:rPr>
              <w:br w:type="textWrapping"/>
            </w:r>
            <w:r>
              <w:rPr>
                <w:rFonts w:hint="eastAsia" w:ascii="微软雅黑" w:hAnsi="微软雅黑" w:eastAsia="微软雅黑" w:cs="MT Extra"/>
                <w:kern w:val="2"/>
                <w:sz w:val="21"/>
                <w:szCs w:val="22"/>
              </w:rPr>
              <w:t>★</w:t>
            </w:r>
            <w:r>
              <w:rPr>
                <w:rFonts w:hint="eastAsia" w:ascii="微软雅黑" w:hAnsi="微软雅黑" w:eastAsia="微软雅黑"/>
                <w:kern w:val="2"/>
                <w:sz w:val="21"/>
                <w:szCs w:val="22"/>
              </w:rPr>
              <w:t>支持云桌面在2</w:t>
            </w:r>
            <w:r>
              <w:rPr>
                <w:rFonts w:ascii="微软雅黑" w:hAnsi="微软雅黑" w:eastAsia="微软雅黑"/>
                <w:kern w:val="2"/>
                <w:sz w:val="21"/>
                <w:szCs w:val="22"/>
              </w:rPr>
              <w:t>D</w:t>
            </w:r>
            <w:r>
              <w:rPr>
                <w:rFonts w:hint="eastAsia" w:ascii="微软雅黑" w:hAnsi="微软雅黑" w:eastAsia="微软雅黑"/>
                <w:kern w:val="2"/>
                <w:sz w:val="21"/>
                <w:szCs w:val="22"/>
              </w:rPr>
              <w:t>和3</w:t>
            </w:r>
            <w:r>
              <w:rPr>
                <w:rFonts w:ascii="微软雅黑" w:hAnsi="微软雅黑" w:eastAsia="微软雅黑"/>
                <w:kern w:val="2"/>
                <w:sz w:val="21"/>
                <w:szCs w:val="22"/>
              </w:rPr>
              <w:t>D</w:t>
            </w:r>
            <w:r>
              <w:rPr>
                <w:rFonts w:hint="eastAsia" w:ascii="微软雅黑" w:hAnsi="微软雅黑" w:eastAsia="微软雅黑"/>
                <w:kern w:val="2"/>
                <w:sz w:val="21"/>
                <w:szCs w:val="22"/>
              </w:rPr>
              <w:t>场景间切换，支持启用或者禁用显卡选项，在显卡资源不足的情况下将3</w:t>
            </w:r>
            <w:r>
              <w:rPr>
                <w:rFonts w:ascii="微软雅黑" w:hAnsi="微软雅黑" w:eastAsia="微软雅黑"/>
                <w:kern w:val="2"/>
                <w:sz w:val="21"/>
                <w:szCs w:val="22"/>
              </w:rPr>
              <w:t>D</w:t>
            </w:r>
            <w:r>
              <w:rPr>
                <w:rFonts w:hint="eastAsia" w:ascii="微软雅黑" w:hAnsi="微软雅黑" w:eastAsia="微软雅黑"/>
                <w:kern w:val="2"/>
                <w:sz w:val="21"/>
                <w:szCs w:val="22"/>
              </w:rPr>
              <w:t>云桌面切换为2</w:t>
            </w:r>
            <w:r>
              <w:rPr>
                <w:rFonts w:ascii="微软雅黑" w:hAnsi="微软雅黑" w:eastAsia="微软雅黑"/>
                <w:kern w:val="2"/>
                <w:sz w:val="21"/>
                <w:szCs w:val="22"/>
              </w:rPr>
              <w:t>D</w:t>
            </w:r>
            <w:r>
              <w:rPr>
                <w:rFonts w:hint="eastAsia" w:ascii="微软雅黑" w:hAnsi="微软雅黑" w:eastAsia="微软雅黑"/>
                <w:kern w:val="2"/>
                <w:sz w:val="21"/>
                <w:szCs w:val="22"/>
              </w:rPr>
              <w:t>云桌面使用。</w:t>
            </w:r>
          </w:p>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kern w:val="2"/>
                <w:sz w:val="21"/>
                <w:szCs w:val="22"/>
              </w:rPr>
              <w:t>支持显卡资源分配可视化，管理员可以实时查看显卡核心分配情况，以及对应的3</w:t>
            </w:r>
            <w:r>
              <w:rPr>
                <w:rFonts w:ascii="微软雅黑" w:hAnsi="微软雅黑" w:eastAsia="微软雅黑"/>
                <w:kern w:val="2"/>
                <w:sz w:val="21"/>
                <w:szCs w:val="22"/>
              </w:rPr>
              <w:t>D</w:t>
            </w:r>
            <w:r>
              <w:rPr>
                <w:rFonts w:hint="eastAsia" w:ascii="微软雅黑" w:hAnsi="微软雅黑" w:eastAsia="微软雅黑"/>
                <w:kern w:val="2"/>
                <w:sz w:val="21"/>
                <w:szCs w:val="22"/>
              </w:rPr>
              <w:t>云桌面名称。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相关授权</w:t>
            </w:r>
          </w:p>
        </w:tc>
        <w:tc>
          <w:tcPr>
            <w:tcW w:w="7132" w:type="dxa"/>
          </w:tcPr>
          <w:p>
            <w:pPr>
              <w:widowControl w:val="0"/>
              <w:ind w:firstLine="0" w:firstLineChars="0"/>
              <w:jc w:val="both"/>
              <w:rPr>
                <w:rFonts w:ascii="微软雅黑" w:hAnsi="微软雅黑" w:eastAsia="微软雅黑" w:cs="MT Extra"/>
                <w:kern w:val="2"/>
                <w:sz w:val="21"/>
                <w:szCs w:val="22"/>
              </w:rPr>
            </w:pPr>
            <w:r>
              <w:rPr>
                <w:rFonts w:hint="eastAsia" w:ascii="微软雅黑" w:hAnsi="微软雅黑" w:eastAsia="微软雅黑" w:cs="MT Extra"/>
                <w:kern w:val="2"/>
                <w:sz w:val="21"/>
                <w:szCs w:val="22"/>
              </w:rPr>
              <w:t>★Quadro vDWS Perpetual License, 1 CCU，永久授权 ≥</w:t>
            </w:r>
            <w:r>
              <w:rPr>
                <w:rFonts w:hint="eastAsia" w:ascii="微软雅黑" w:hAnsi="微软雅黑" w:eastAsia="微软雅黑" w:cs="MT Extra"/>
                <w:kern w:val="2"/>
                <w:sz w:val="21"/>
                <w:szCs w:val="22"/>
                <w:lang w:val="en-US" w:eastAsia="zh-CN"/>
              </w:rPr>
              <w:t>100</w:t>
            </w:r>
            <w:r>
              <w:rPr>
                <w:rFonts w:hint="eastAsia" w:ascii="微软雅黑" w:hAnsi="微软雅黑" w:eastAsia="微软雅黑" w:cs="MT Extra"/>
                <w:kern w:val="2"/>
                <w:sz w:val="21"/>
                <w:szCs w:val="22"/>
              </w:rPr>
              <w:t>套</w:t>
            </w:r>
          </w:p>
          <w:p>
            <w:pPr>
              <w:widowControl w:val="0"/>
              <w:ind w:firstLine="0" w:firstLineChars="0"/>
              <w:jc w:val="both"/>
              <w:rPr>
                <w:rFonts w:ascii="微软雅黑" w:hAnsi="微软雅黑" w:eastAsia="微软雅黑" w:cs="MT Extra"/>
                <w:kern w:val="2"/>
                <w:sz w:val="21"/>
                <w:szCs w:val="22"/>
              </w:rPr>
            </w:pPr>
            <w:r>
              <w:rPr>
                <w:rFonts w:hint="eastAsia" w:ascii="微软雅黑" w:hAnsi="微软雅黑" w:eastAsia="微软雅黑" w:cs="MT Extra"/>
                <w:kern w:val="2"/>
                <w:sz w:val="21"/>
                <w:szCs w:val="22"/>
              </w:rPr>
              <w:t>★Quadro vDWS Production SUMS 3 year 1CCU，3年原厂服务（电话、邮件、升级、驱动版本） ≥</w:t>
            </w:r>
            <w:r>
              <w:rPr>
                <w:rFonts w:hint="eastAsia" w:ascii="微软雅黑" w:hAnsi="微软雅黑" w:eastAsia="微软雅黑" w:cs="MT Extra"/>
                <w:kern w:val="2"/>
                <w:sz w:val="21"/>
                <w:szCs w:val="22"/>
                <w:lang w:val="en-US" w:eastAsia="zh-CN"/>
              </w:rPr>
              <w:t>100</w:t>
            </w:r>
            <w:r>
              <w:rPr>
                <w:rFonts w:hint="eastAsia" w:ascii="微软雅黑" w:hAnsi="微软雅黑" w:eastAsia="微软雅黑" w:cs="MT Extra"/>
                <w:kern w:val="2"/>
                <w:sz w:val="21"/>
                <w:szCs w:val="22"/>
              </w:rPr>
              <w:t>套</w:t>
            </w:r>
          </w:p>
          <w:p>
            <w:pPr>
              <w:widowControl w:val="0"/>
              <w:ind w:firstLine="0" w:firstLineChars="0"/>
              <w:jc w:val="both"/>
              <w:rPr>
                <w:rFonts w:ascii="微软雅黑" w:hAnsi="微软雅黑" w:eastAsia="微软雅黑" w:cs="MT Extra"/>
                <w:kern w:val="2"/>
                <w:sz w:val="21"/>
                <w:szCs w:val="22"/>
              </w:rPr>
            </w:pPr>
            <w:r>
              <w:rPr>
                <w:rFonts w:hint="eastAsia" w:ascii="微软雅黑" w:hAnsi="微软雅黑" w:eastAsia="微软雅黑" w:cs="MT Extra"/>
                <w:kern w:val="2"/>
                <w:sz w:val="21"/>
                <w:szCs w:val="22"/>
              </w:rPr>
              <w:t>★虚拟化软件相应授权</w:t>
            </w:r>
          </w:p>
        </w:tc>
      </w:tr>
    </w:tbl>
    <w:p>
      <w:pPr>
        <w:rPr>
          <w:rFonts w:ascii="微软雅黑" w:hAnsi="微软雅黑" w:eastAsia="微软雅黑"/>
        </w:rPr>
      </w:pPr>
    </w:p>
    <w:p>
      <w:pPr>
        <w:rPr>
          <w:rFonts w:ascii="微软雅黑" w:hAnsi="微软雅黑" w:eastAsia="微软雅黑"/>
        </w:rPr>
      </w:pPr>
    </w:p>
    <w:p>
      <w:pPr>
        <w:pStyle w:val="161"/>
        <w:numPr>
          <w:ilvl w:val="0"/>
          <w:numId w:val="24"/>
        </w:numPr>
        <w:ind w:firstLineChars="0"/>
        <w:rPr>
          <w:rFonts w:ascii="微软雅黑" w:hAnsi="微软雅黑" w:eastAsia="微软雅黑"/>
          <w:b/>
        </w:rPr>
      </w:pPr>
      <w:r>
        <w:rPr>
          <w:rFonts w:hint="eastAsia" w:ascii="微软雅黑" w:hAnsi="微软雅黑" w:eastAsia="微软雅黑"/>
          <w:b/>
        </w:rPr>
        <w:t>桌面云超融合操作系统</w:t>
      </w:r>
    </w:p>
    <w:p>
      <w:pPr>
        <w:pStyle w:val="161"/>
        <w:ind w:left="480" w:firstLine="0" w:firstLineChars="0"/>
        <w:rPr>
          <w:rFonts w:ascii="微软雅黑" w:hAnsi="微软雅黑" w:eastAsia="微软雅黑"/>
          <w:b/>
        </w:rPr>
      </w:pPr>
    </w:p>
    <w:tbl>
      <w:tblPr>
        <w:tblStyle w:val="3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技术指标</w:t>
            </w:r>
          </w:p>
        </w:tc>
        <w:tc>
          <w:tcPr>
            <w:tcW w:w="7132"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配置要求</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★提供服务器虚拟化和存储虚拟化授权，服务器虚拟化授权要求满足本项目性能需求，存储虚拟化授权要求无容量限制，便于后续存储扩容。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部署模式</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兼容市场上主流x86服务器和存储设备，支持品牌不局限于IBM、联想、戴尔、浪潮等。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功能支持</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★支持服务器端口汇聚技术（管理口、业务口、存储口），将多个网络端口聚合起来，提高网络带宽和容错能力。</w:t>
            </w:r>
          </w:p>
          <w:p>
            <w:pPr>
              <w:widowControl w:val="0"/>
              <w:ind w:firstLine="0" w:firstLineChars="0"/>
              <w:jc w:val="left"/>
              <w:rPr>
                <w:rFonts w:ascii="微软雅黑" w:hAnsi="微软雅黑" w:eastAsia="微软雅黑"/>
                <w:kern w:val="2"/>
                <w:sz w:val="21"/>
                <w:szCs w:val="22"/>
              </w:rPr>
            </w:pPr>
            <w:r>
              <w:rPr>
                <w:rFonts w:hint="eastAsia" w:ascii="微软雅黑" w:hAnsi="微软雅黑" w:eastAsia="微软雅黑"/>
                <w:kern w:val="2"/>
                <w:sz w:val="21"/>
                <w:szCs w:val="22"/>
              </w:rPr>
              <w:t>支持虚拟机集中备份与恢复，可按需选择多个虚拟机或全部虚拟机备份至外置服务器（NAS、FTP、CIFS等），支持设置备份策略，实现全自动化备份。</w:t>
            </w:r>
          </w:p>
        </w:tc>
      </w:tr>
    </w:tbl>
    <w:p>
      <w:pPr>
        <w:rPr>
          <w:rFonts w:ascii="微软雅黑" w:hAnsi="微软雅黑" w:eastAsia="微软雅黑"/>
          <w:b/>
        </w:rPr>
      </w:pPr>
    </w:p>
    <w:p>
      <w:pPr>
        <w:pStyle w:val="161"/>
        <w:numPr>
          <w:ilvl w:val="0"/>
          <w:numId w:val="24"/>
        </w:numPr>
        <w:ind w:firstLineChars="0"/>
        <w:rPr>
          <w:rFonts w:ascii="微软雅黑" w:hAnsi="微软雅黑" w:eastAsia="微软雅黑"/>
          <w:b/>
        </w:rPr>
      </w:pPr>
      <w:r>
        <w:rPr>
          <w:rFonts w:hint="eastAsia" w:ascii="微软雅黑" w:hAnsi="微软雅黑" w:eastAsia="微软雅黑"/>
          <w:b/>
        </w:rPr>
        <w:t>交换机</w:t>
      </w:r>
    </w:p>
    <w:tbl>
      <w:tblPr>
        <w:tblStyle w:val="3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技术指标</w:t>
            </w:r>
          </w:p>
        </w:tc>
        <w:tc>
          <w:tcPr>
            <w:tcW w:w="7132"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基本要求</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3层可网管交换机，至少4个万兆光接口，24个千兆电接口；标准1U设备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ind w:firstLine="0" w:firstLineChars="0"/>
              <w:jc w:val="both"/>
              <w:rPr>
                <w:rFonts w:ascii="微软雅黑" w:hAnsi="微软雅黑" w:eastAsia="微软雅黑"/>
                <w:b/>
                <w:kern w:val="2"/>
                <w:sz w:val="21"/>
                <w:szCs w:val="22"/>
              </w:rPr>
            </w:pPr>
            <w:r>
              <w:rPr>
                <w:rFonts w:hint="eastAsia" w:ascii="微软雅黑" w:hAnsi="微软雅黑" w:eastAsia="微软雅黑"/>
                <w:b/>
                <w:kern w:val="2"/>
                <w:sz w:val="21"/>
                <w:szCs w:val="22"/>
              </w:rPr>
              <w:t>功能支持</w:t>
            </w:r>
          </w:p>
        </w:tc>
        <w:tc>
          <w:tcPr>
            <w:tcW w:w="7132" w:type="dxa"/>
          </w:tcPr>
          <w:p>
            <w:pPr>
              <w:widowControl w:val="0"/>
              <w:ind w:firstLine="0" w:firstLineChars="0"/>
              <w:jc w:val="both"/>
              <w:rPr>
                <w:rFonts w:ascii="微软雅黑" w:hAnsi="微软雅黑" w:eastAsia="微软雅黑"/>
                <w:kern w:val="2"/>
                <w:sz w:val="21"/>
                <w:szCs w:val="22"/>
              </w:rPr>
            </w:pPr>
            <w:r>
              <w:rPr>
                <w:rFonts w:hint="eastAsia" w:ascii="微软雅黑" w:hAnsi="微软雅黑" w:eastAsia="微软雅黑"/>
                <w:kern w:val="2"/>
                <w:sz w:val="21"/>
                <w:szCs w:val="22"/>
              </w:rPr>
              <w:t>支持静态路由、RIPv1/2、RIPng、OSPF、OSPFv3、BGP、BGP4+；</w:t>
            </w:r>
          </w:p>
          <w:p>
            <w:pPr>
              <w:widowControl w:val="0"/>
              <w:ind w:firstLine="0" w:firstLineChars="0"/>
              <w:jc w:val="left"/>
              <w:rPr>
                <w:rFonts w:ascii="微软雅黑" w:hAnsi="微软雅黑" w:eastAsia="微软雅黑"/>
                <w:kern w:val="2"/>
                <w:sz w:val="21"/>
                <w:szCs w:val="22"/>
              </w:rPr>
            </w:pPr>
            <w:r>
              <w:rPr>
                <w:rFonts w:hint="eastAsia" w:ascii="微软雅黑" w:hAnsi="微软雅黑" w:eastAsia="微软雅黑"/>
                <w:kern w:val="2"/>
                <w:sz w:val="21"/>
                <w:szCs w:val="22"/>
              </w:rPr>
              <w:t>支持IGMP Snooping；</w:t>
            </w:r>
            <w:r>
              <w:rPr>
                <w:rFonts w:ascii="微软雅黑" w:hAnsi="微软雅黑" w:eastAsia="微软雅黑"/>
                <w:kern w:val="2"/>
                <w:sz w:val="21"/>
                <w:szCs w:val="22"/>
              </w:rPr>
              <w:t>支持巨帧</w:t>
            </w:r>
            <w:r>
              <w:rPr>
                <w:rFonts w:hint="eastAsia" w:ascii="微软雅黑" w:hAnsi="微软雅黑" w:eastAsia="微软雅黑"/>
                <w:kern w:val="2"/>
                <w:sz w:val="21"/>
                <w:szCs w:val="22"/>
              </w:rPr>
              <w:t>；支持LACP；支持手工聚合；支持MLAG；支持STP、RSTP和MSTP；支持BPDU保护、Root保护、环路保护；支持Console口配置、Telnet远程配置；支持SNMPv1/v2c/v3；支持系统日志；</w:t>
            </w:r>
          </w:p>
        </w:tc>
      </w:tr>
    </w:tbl>
    <w:p>
      <w:pPr>
        <w:rPr>
          <w:rFonts w:ascii="微软雅黑" w:hAnsi="微软雅黑" w:eastAsia="微软雅黑"/>
          <w:b/>
        </w:rPr>
      </w:pPr>
    </w:p>
    <w:p>
      <w:pPr>
        <w:pStyle w:val="161"/>
        <w:ind w:left="480" w:firstLine="0" w:firstLineChars="0"/>
        <w:rPr>
          <w:rFonts w:ascii="微软雅黑" w:hAnsi="微软雅黑" w:eastAsia="微软雅黑"/>
          <w:b/>
        </w:rPr>
      </w:pPr>
    </w:p>
    <w:p/>
    <w:p>
      <w:pPr>
        <w:pStyle w:val="77"/>
        <w:keepNext/>
        <w:keepLines/>
        <w:numPr>
          <w:ilvl w:val="0"/>
          <w:numId w:val="2"/>
        </w:numPr>
        <w:tabs>
          <w:tab w:val="left" w:pos="709"/>
          <w:tab w:val="clear" w:pos="567"/>
        </w:tabs>
        <w:spacing w:before="120"/>
        <w:ind w:left="709" w:right="210" w:firstLineChars="0"/>
        <w:outlineLvl w:val="2"/>
        <w:rPr>
          <w:rFonts w:asciiTheme="minorEastAsia" w:hAnsiTheme="minorEastAsia"/>
          <w:bCs/>
          <w:vanish/>
          <w:sz w:val="24"/>
        </w:rPr>
      </w:pPr>
      <w:bookmarkStart w:id="264" w:name="_Toc433888660"/>
      <w:bookmarkEnd w:id="264"/>
      <w:bookmarkStart w:id="265" w:name="_Toc400607481"/>
      <w:bookmarkEnd w:id="265"/>
      <w:bookmarkStart w:id="266" w:name="_Toc432691435"/>
      <w:bookmarkEnd w:id="266"/>
      <w:bookmarkStart w:id="267" w:name="_Toc447723522"/>
      <w:bookmarkEnd w:id="267"/>
      <w:bookmarkStart w:id="268" w:name="_Toc399219103"/>
      <w:bookmarkEnd w:id="268"/>
      <w:bookmarkStart w:id="269" w:name="_Toc459897829"/>
      <w:bookmarkEnd w:id="269"/>
      <w:bookmarkStart w:id="270" w:name="_Toc447723846"/>
      <w:bookmarkEnd w:id="270"/>
      <w:bookmarkStart w:id="271" w:name="_Toc433090974"/>
      <w:bookmarkEnd w:id="271"/>
      <w:bookmarkStart w:id="272" w:name="_Toc369357459"/>
      <w:bookmarkEnd w:id="272"/>
      <w:bookmarkStart w:id="273" w:name="_Toc402185479"/>
      <w:bookmarkEnd w:id="273"/>
      <w:bookmarkStart w:id="274" w:name="_Toc447724280"/>
      <w:bookmarkEnd w:id="274"/>
      <w:bookmarkStart w:id="275" w:name="_Toc499544968"/>
      <w:bookmarkEnd w:id="275"/>
      <w:bookmarkStart w:id="276" w:name="_Toc447723688"/>
      <w:bookmarkEnd w:id="276"/>
      <w:bookmarkStart w:id="277" w:name="_Toc393113587"/>
      <w:bookmarkEnd w:id="277"/>
      <w:bookmarkStart w:id="278" w:name="_Toc393113424"/>
      <w:bookmarkEnd w:id="278"/>
      <w:bookmarkStart w:id="279" w:name="_Toc447724136"/>
      <w:bookmarkEnd w:id="279"/>
      <w:bookmarkStart w:id="280" w:name="_Toc399150140"/>
      <w:bookmarkEnd w:id="280"/>
      <w:bookmarkStart w:id="281" w:name="_Toc1234"/>
      <w:bookmarkEnd w:id="281"/>
      <w:bookmarkStart w:id="282" w:name="_Toc459894579"/>
      <w:bookmarkEnd w:id="282"/>
      <w:bookmarkStart w:id="283" w:name="_Toc433888497"/>
      <w:bookmarkEnd w:id="283"/>
      <w:bookmarkStart w:id="284" w:name="_Toc369360014"/>
      <w:bookmarkEnd w:id="284"/>
      <w:bookmarkStart w:id="285" w:name="_Toc447723991"/>
      <w:bookmarkEnd w:id="285"/>
      <w:bookmarkStart w:id="286" w:name="_Toc433898245"/>
      <w:bookmarkEnd w:id="286"/>
      <w:bookmarkStart w:id="287" w:name="_Toc459897080"/>
      <w:bookmarkEnd w:id="287"/>
      <w:bookmarkStart w:id="288" w:name="_Toc369335137"/>
      <w:bookmarkEnd w:id="288"/>
      <w:bookmarkStart w:id="289" w:name="_Toc393113748"/>
      <w:bookmarkEnd w:id="289"/>
      <w:bookmarkStart w:id="290" w:name="_Toc432691272"/>
      <w:bookmarkEnd w:id="290"/>
      <w:bookmarkStart w:id="291" w:name="_Toc299115723"/>
      <w:bookmarkStart w:id="292" w:name="_Toc175124652"/>
      <w:bookmarkStart w:id="293" w:name="_Toc140459869"/>
      <w:bookmarkStart w:id="294" w:name="_Toc175124762"/>
      <w:bookmarkStart w:id="295" w:name="_Toc180831613"/>
      <w:bookmarkStart w:id="296" w:name="_Toc174720228"/>
      <w:bookmarkStart w:id="297" w:name="_Toc175124951"/>
      <w:bookmarkStart w:id="298" w:name="_Toc179431916"/>
    </w:p>
    <w:p>
      <w:pPr>
        <w:pStyle w:val="77"/>
        <w:keepNext/>
        <w:keepLines/>
        <w:numPr>
          <w:ilvl w:val="0"/>
          <w:numId w:val="2"/>
        </w:numPr>
        <w:tabs>
          <w:tab w:val="left" w:pos="709"/>
          <w:tab w:val="clear" w:pos="567"/>
        </w:tabs>
        <w:spacing w:before="120"/>
        <w:ind w:left="709" w:right="210" w:firstLineChars="0"/>
        <w:outlineLvl w:val="2"/>
        <w:rPr>
          <w:rFonts w:asciiTheme="minorEastAsia" w:hAnsiTheme="minorEastAsia"/>
          <w:bCs/>
          <w:vanish/>
          <w:sz w:val="24"/>
        </w:rPr>
      </w:pPr>
      <w:bookmarkStart w:id="299" w:name="_Toc432691273"/>
      <w:bookmarkEnd w:id="299"/>
      <w:bookmarkStart w:id="300" w:name="_Toc399219104"/>
      <w:bookmarkEnd w:id="300"/>
      <w:bookmarkStart w:id="301" w:name="_Toc447724137"/>
      <w:bookmarkEnd w:id="301"/>
      <w:bookmarkStart w:id="302" w:name="_Toc459897830"/>
      <w:bookmarkEnd w:id="302"/>
      <w:bookmarkStart w:id="303" w:name="_Toc447724281"/>
      <w:bookmarkEnd w:id="303"/>
      <w:bookmarkStart w:id="304" w:name="_Toc402185480"/>
      <w:bookmarkEnd w:id="304"/>
      <w:bookmarkStart w:id="305" w:name="_Toc447723847"/>
      <w:bookmarkEnd w:id="305"/>
      <w:bookmarkStart w:id="306" w:name="_Toc393113425"/>
      <w:bookmarkEnd w:id="306"/>
      <w:bookmarkStart w:id="307" w:name="_Toc369335138"/>
      <w:bookmarkEnd w:id="307"/>
      <w:bookmarkStart w:id="308" w:name="_Toc459897081"/>
      <w:bookmarkEnd w:id="308"/>
      <w:bookmarkStart w:id="309" w:name="_Toc447723992"/>
      <w:bookmarkEnd w:id="309"/>
      <w:bookmarkStart w:id="310" w:name="_Toc393113588"/>
      <w:bookmarkEnd w:id="310"/>
      <w:bookmarkStart w:id="311" w:name="_Toc400607482"/>
      <w:bookmarkEnd w:id="311"/>
      <w:bookmarkStart w:id="312" w:name="_Toc447723689"/>
      <w:bookmarkEnd w:id="312"/>
      <w:bookmarkStart w:id="313" w:name="_Toc499544969"/>
      <w:bookmarkEnd w:id="313"/>
      <w:bookmarkStart w:id="314" w:name="_Toc447723523"/>
      <w:bookmarkEnd w:id="314"/>
      <w:bookmarkStart w:id="315" w:name="_Toc433898246"/>
      <w:bookmarkEnd w:id="315"/>
      <w:bookmarkStart w:id="316" w:name="_Toc393113749"/>
      <w:bookmarkEnd w:id="316"/>
      <w:bookmarkStart w:id="317" w:name="_Toc369357460"/>
      <w:bookmarkEnd w:id="317"/>
      <w:bookmarkStart w:id="318" w:name="_Toc433090975"/>
      <w:bookmarkEnd w:id="318"/>
      <w:bookmarkStart w:id="319" w:name="_Toc433888498"/>
      <w:bookmarkEnd w:id="319"/>
      <w:bookmarkStart w:id="320" w:name="_Toc369360015"/>
      <w:bookmarkEnd w:id="320"/>
      <w:bookmarkStart w:id="321" w:name="_Toc399150141"/>
      <w:bookmarkEnd w:id="321"/>
      <w:bookmarkStart w:id="322" w:name="_Toc432691436"/>
      <w:bookmarkEnd w:id="322"/>
      <w:bookmarkStart w:id="323" w:name="_Toc459894580"/>
      <w:bookmarkEnd w:id="323"/>
      <w:bookmarkStart w:id="324" w:name="_Toc7710"/>
      <w:bookmarkEnd w:id="324"/>
      <w:bookmarkStart w:id="325" w:name="_Toc433888661"/>
      <w:bookmarkEnd w:id="325"/>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bookmarkEnd w:id="291"/>
    <w:bookmarkEnd w:id="292"/>
    <w:bookmarkEnd w:id="293"/>
    <w:bookmarkEnd w:id="294"/>
    <w:bookmarkEnd w:id="295"/>
    <w:bookmarkEnd w:id="296"/>
    <w:bookmarkEnd w:id="297"/>
    <w:bookmarkEnd w:id="298"/>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7"/>
        </w:numPr>
        <w:ind w:right="210" w:firstLineChars="0"/>
        <w:rPr>
          <w:rFonts w:asciiTheme="minorEastAsia" w:hAnsiTheme="minorEastAsia"/>
          <w:vanish/>
          <w:sz w:val="24"/>
        </w:rPr>
      </w:pPr>
    </w:p>
    <w:p>
      <w:pPr>
        <w:pStyle w:val="77"/>
        <w:numPr>
          <w:ilvl w:val="0"/>
          <w:numId w:val="21"/>
        </w:numPr>
        <w:tabs>
          <w:tab w:val="left" w:pos="840"/>
        </w:tabs>
        <w:ind w:right="210" w:firstLineChars="0"/>
        <w:rPr>
          <w:rFonts w:asciiTheme="minorEastAsia" w:hAnsiTheme="minorEastAsia"/>
          <w:vanish/>
          <w:sz w:val="24"/>
        </w:rPr>
      </w:pPr>
      <w:bookmarkStart w:id="326" w:name="_Toc299115724"/>
      <w:bookmarkEnd w:id="326"/>
    </w:p>
    <w:p>
      <w:pPr>
        <w:pStyle w:val="77"/>
        <w:numPr>
          <w:ilvl w:val="0"/>
          <w:numId w:val="21"/>
        </w:numPr>
        <w:tabs>
          <w:tab w:val="left" w:pos="840"/>
        </w:tabs>
        <w:ind w:right="210" w:firstLineChars="0"/>
        <w:rPr>
          <w:rFonts w:asciiTheme="minorEastAsia" w:hAnsiTheme="minorEastAsia"/>
          <w:vanish/>
          <w:sz w:val="24"/>
        </w:rPr>
      </w:pPr>
    </w:p>
    <w:p>
      <w:pPr>
        <w:pStyle w:val="77"/>
        <w:numPr>
          <w:ilvl w:val="1"/>
          <w:numId w:val="21"/>
        </w:numPr>
        <w:tabs>
          <w:tab w:val="left" w:pos="840"/>
        </w:tabs>
        <w:ind w:right="210" w:firstLineChars="0"/>
        <w:rPr>
          <w:rFonts w:asciiTheme="minorEastAsia" w:hAnsiTheme="minorEastAsia"/>
          <w:vanish/>
          <w:sz w:val="24"/>
        </w:rPr>
      </w:pPr>
    </w:p>
    <w:p>
      <w:pPr>
        <w:pStyle w:val="55"/>
        <w:spacing w:line="520" w:lineRule="exact"/>
        <w:rPr>
          <w:rFonts w:asciiTheme="minorEastAsia" w:hAnsiTheme="minorEastAsia" w:eastAsiaTheme="minorEastAsia"/>
        </w:rPr>
      </w:pPr>
      <w:bookmarkStart w:id="327" w:name="_Toc179431948"/>
      <w:bookmarkStart w:id="328" w:name="_Toc299115757"/>
      <w:bookmarkStart w:id="329" w:name="_Toc180831632"/>
      <w:bookmarkStart w:id="330" w:name="_Toc327355179"/>
      <w:r>
        <w:rPr>
          <w:rFonts w:hint="eastAsia" w:asciiTheme="minorEastAsia" w:hAnsiTheme="minorEastAsia" w:eastAsiaTheme="minorEastAsia"/>
        </w:rPr>
        <w:t>技术支持和质量保证服务</w:t>
      </w:r>
      <w:bookmarkEnd w:id="327"/>
      <w:bookmarkEnd w:id="328"/>
      <w:bookmarkEnd w:id="329"/>
      <w:bookmarkEnd w:id="330"/>
    </w:p>
    <w:p>
      <w:pPr>
        <w:ind w:firstLine="480"/>
        <w:rPr>
          <w:rFonts w:asciiTheme="minorEastAsia" w:hAnsiTheme="minorEastAsia"/>
          <w:sz w:val="24"/>
        </w:rPr>
      </w:pPr>
      <w:r>
        <w:rPr>
          <w:rFonts w:hint="eastAsia" w:asciiTheme="minorEastAsia" w:hAnsiTheme="minorEastAsia"/>
          <w:sz w:val="24"/>
        </w:rPr>
        <w:t>投标人需在技术标中提供详细的技术支持和质量保证服务体系，投标货物的质保期最低不得低于</w:t>
      </w:r>
      <w:r>
        <w:rPr>
          <w:rFonts w:asciiTheme="minorEastAsia" w:hAnsiTheme="minorEastAsia"/>
          <w:sz w:val="24"/>
        </w:rPr>
        <w:t>3</w:t>
      </w:r>
      <w:r>
        <w:rPr>
          <w:rFonts w:hint="eastAsia" w:asciiTheme="minorEastAsia" w:hAnsiTheme="minorEastAsia"/>
          <w:sz w:val="24"/>
        </w:rPr>
        <w:t>年。</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55"/>
        <w:spacing w:line="520" w:lineRule="exact"/>
        <w:rPr>
          <w:rFonts w:asciiTheme="minorEastAsia" w:hAnsiTheme="minorEastAsia" w:eastAsiaTheme="minorEastAsia"/>
        </w:rPr>
      </w:pPr>
      <w:bookmarkStart w:id="331" w:name="_Toc466420755"/>
      <w:r>
        <w:rPr>
          <w:rFonts w:hint="eastAsia" w:asciiTheme="minorEastAsia" w:hAnsiTheme="minorEastAsia" w:eastAsiaTheme="minorEastAsia"/>
        </w:rPr>
        <w:t>项目实施</w:t>
      </w:r>
      <w:bookmarkEnd w:id="331"/>
    </w:p>
    <w:p>
      <w:pPr>
        <w:pStyle w:val="5"/>
        <w:rPr>
          <w:rFonts w:cs="Times New Roman" w:asciiTheme="minorEastAsia" w:hAnsiTheme="minorEastAsia" w:eastAsiaTheme="minorEastAsia"/>
          <w:sz w:val="24"/>
          <w:szCs w:val="24"/>
        </w:rPr>
      </w:pPr>
      <w:bookmarkStart w:id="332" w:name="_Toc230234556"/>
      <w:bookmarkStart w:id="333" w:name="_Toc135927977"/>
      <w:bookmarkStart w:id="334" w:name="_Toc451441910"/>
      <w:bookmarkStart w:id="335" w:name="_Toc202953640"/>
      <w:bookmarkStart w:id="336" w:name="_Toc268726328"/>
      <w:bookmarkStart w:id="337" w:name="_Toc206693528"/>
      <w:bookmarkStart w:id="338" w:name="_Toc466420756"/>
      <w:bookmarkStart w:id="339" w:name="_Toc131384963"/>
      <w:bookmarkStart w:id="340" w:name="_Toc129150389"/>
      <w:bookmarkStart w:id="341" w:name="_Toc129074154"/>
      <w:bookmarkStart w:id="342" w:name="_Toc129587961"/>
      <w:bookmarkStart w:id="343" w:name="_Toc129687410"/>
      <w:bookmarkStart w:id="344" w:name="_Toc129343595"/>
      <w:bookmarkStart w:id="345" w:name="_Toc129344614"/>
      <w:bookmarkStart w:id="346" w:name="_Toc16912777"/>
      <w:bookmarkStart w:id="347" w:name="_Toc130872312"/>
      <w:bookmarkStart w:id="348" w:name="_Toc129591165"/>
      <w:bookmarkStart w:id="349" w:name="_Toc73350140"/>
      <w:bookmarkStart w:id="350" w:name="_Toc101267530"/>
      <w:bookmarkStart w:id="351" w:name="_Toc129586993"/>
      <w:bookmarkStart w:id="352" w:name="_Toc129682983"/>
      <w:bookmarkStart w:id="353" w:name="_Toc129073869"/>
      <w:bookmarkStart w:id="354" w:name="_Toc129588300"/>
      <w:bookmarkStart w:id="355" w:name="_Toc129681952"/>
      <w:bookmarkStart w:id="356" w:name="_Toc129683296"/>
      <w:bookmarkStart w:id="357" w:name="_Toc129586585"/>
      <w:bookmarkStart w:id="358" w:name="_Toc129687748"/>
      <w:bookmarkStart w:id="359" w:name="_Toc129682389"/>
      <w:bookmarkStart w:id="360" w:name="_Toc79405767"/>
      <w:bookmarkStart w:id="361" w:name="_Toc129396890"/>
      <w:bookmarkStart w:id="362" w:name="_Toc129682452"/>
      <w:bookmarkStart w:id="363" w:name="_Toc129931528"/>
      <w:bookmarkStart w:id="364" w:name="_Toc102028364"/>
      <w:r>
        <w:rPr>
          <w:rFonts w:hint="eastAsia" w:cs="Times New Roman" w:asciiTheme="minorEastAsia" w:hAnsiTheme="minorEastAsia" w:eastAsiaTheme="minorEastAsia"/>
          <w:sz w:val="24"/>
          <w:szCs w:val="24"/>
        </w:rPr>
        <w:t>6.1</w:t>
      </w:r>
      <w:bookmarkEnd w:id="332"/>
      <w:bookmarkEnd w:id="333"/>
      <w:bookmarkEnd w:id="334"/>
      <w:bookmarkEnd w:id="335"/>
      <w:bookmarkEnd w:id="336"/>
      <w:bookmarkEnd w:id="337"/>
      <w:bookmarkEnd w:id="338"/>
      <w:r>
        <w:rPr>
          <w:rFonts w:hint="eastAsia" w:cs="Times New Roman" w:asciiTheme="minorEastAsia" w:hAnsiTheme="minorEastAsia" w:eastAsiaTheme="minorEastAsia"/>
          <w:sz w:val="24"/>
          <w:szCs w:val="24"/>
        </w:rPr>
        <w:t>设备的到货要求</w:t>
      </w:r>
    </w:p>
    <w:p>
      <w:pPr>
        <w:ind w:left="-4" w:leftChars="-2" w:firstLine="480" w:firstLineChars="200"/>
        <w:rPr>
          <w:rFonts w:asciiTheme="minorEastAsia" w:hAnsiTheme="minorEastAsia"/>
          <w:sz w:val="24"/>
        </w:rPr>
      </w:pPr>
      <w:r>
        <w:rPr>
          <w:rFonts w:asciiTheme="minorEastAsia" w:hAnsiTheme="minorEastAsia"/>
          <w:sz w:val="24"/>
        </w:rPr>
        <w:t>投标人必须响应并承诺下列到货时间和到货地点的要求。</w:t>
      </w:r>
      <w:bookmarkStart w:id="365" w:name="_Toc206693529"/>
      <w:bookmarkStart w:id="366" w:name="_Toc135927978"/>
      <w:bookmarkStart w:id="367" w:name="_Toc202953641"/>
    </w:p>
    <w:p>
      <w:pPr>
        <w:pStyle w:val="5"/>
        <w:rPr>
          <w:rFonts w:cs="Times New Roman" w:asciiTheme="minorEastAsia" w:hAnsiTheme="minorEastAsia" w:eastAsiaTheme="minorEastAsia"/>
          <w:sz w:val="24"/>
          <w:szCs w:val="24"/>
        </w:rPr>
      </w:pPr>
      <w:bookmarkStart w:id="368" w:name="_Toc230234557"/>
      <w:bookmarkStart w:id="369" w:name="_Toc268726329"/>
      <w:bookmarkStart w:id="370" w:name="_Toc466420757"/>
      <w:bookmarkStart w:id="371" w:name="_Toc451441911"/>
      <w:r>
        <w:rPr>
          <w:rFonts w:hint="eastAsia" w:cs="Times New Roman" w:asciiTheme="minorEastAsia" w:hAnsiTheme="minorEastAsia" w:eastAsiaTheme="minorEastAsia"/>
          <w:sz w:val="24"/>
          <w:szCs w:val="24"/>
        </w:rPr>
        <w:t>6.2</w:t>
      </w:r>
      <w:bookmarkEnd w:id="365"/>
      <w:bookmarkEnd w:id="366"/>
      <w:bookmarkEnd w:id="367"/>
      <w:bookmarkEnd w:id="368"/>
      <w:bookmarkEnd w:id="369"/>
      <w:bookmarkEnd w:id="370"/>
      <w:bookmarkEnd w:id="371"/>
      <w:r>
        <w:rPr>
          <w:rFonts w:hint="eastAsia" w:cs="Times New Roman" w:asciiTheme="minorEastAsia" w:hAnsiTheme="minorEastAsia" w:eastAsiaTheme="minorEastAsia"/>
          <w:sz w:val="24"/>
          <w:szCs w:val="24"/>
        </w:rPr>
        <w:t>到货时间要求</w:t>
      </w:r>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ind w:firstLine="480" w:firstLineChars="200"/>
        <w:rPr>
          <w:rFonts w:asciiTheme="minorEastAsia" w:hAnsiTheme="minorEastAsia"/>
          <w:sz w:val="24"/>
        </w:rPr>
      </w:pPr>
      <w:r>
        <w:rPr>
          <w:rFonts w:asciiTheme="minorEastAsia" w:hAnsiTheme="minorEastAsia"/>
          <w:sz w:val="24"/>
        </w:rPr>
        <w:t>本次工程所有设备须在合同签订后</w:t>
      </w:r>
      <w:r>
        <w:rPr>
          <w:rFonts w:hint="eastAsia" w:asciiTheme="minorEastAsia" w:hAnsiTheme="minorEastAsia"/>
          <w:sz w:val="24"/>
        </w:rPr>
        <w:t>15日内</w:t>
      </w:r>
      <w:r>
        <w:rPr>
          <w:rFonts w:hint="eastAsia"/>
          <w:color w:val="000000"/>
          <w:sz w:val="24"/>
        </w:rPr>
        <w:t>内货到现场，7日内安装调试完毕，30日内测试完毕</w:t>
      </w:r>
      <w:r>
        <w:rPr>
          <w:rFonts w:hint="eastAsia" w:asciiTheme="minorEastAsia" w:hAnsiTheme="minorEastAsia"/>
          <w:sz w:val="24"/>
        </w:rPr>
        <w:t>。</w:t>
      </w:r>
    </w:p>
    <w:p>
      <w:pPr>
        <w:pStyle w:val="5"/>
        <w:rPr>
          <w:rFonts w:cs="Times New Roman" w:asciiTheme="minorEastAsia" w:hAnsiTheme="minorEastAsia" w:eastAsiaTheme="minorEastAsia"/>
          <w:sz w:val="24"/>
          <w:szCs w:val="24"/>
        </w:rPr>
      </w:pPr>
      <w:bookmarkStart w:id="372" w:name="_Toc466420758"/>
      <w:bookmarkStart w:id="373" w:name="_Toc266083897"/>
      <w:bookmarkStart w:id="374" w:name="_Toc451441912"/>
      <w:bookmarkStart w:id="375" w:name="_Toc292460084"/>
      <w:r>
        <w:rPr>
          <w:rFonts w:hint="eastAsia" w:cs="Times New Roman" w:asciiTheme="minorEastAsia" w:hAnsiTheme="minorEastAsia" w:eastAsiaTheme="minorEastAsia"/>
          <w:sz w:val="24"/>
          <w:szCs w:val="24"/>
        </w:rPr>
        <w:t>6.3</w:t>
      </w:r>
      <w:bookmarkEnd w:id="372"/>
      <w:bookmarkEnd w:id="373"/>
      <w:bookmarkEnd w:id="374"/>
      <w:bookmarkEnd w:id="375"/>
      <w:r>
        <w:rPr>
          <w:rFonts w:hint="eastAsia" w:cs="Times New Roman" w:asciiTheme="minorEastAsia" w:hAnsiTheme="minorEastAsia" w:eastAsiaTheme="minorEastAsia"/>
          <w:sz w:val="24"/>
          <w:szCs w:val="24"/>
        </w:rPr>
        <w:t>到货地点要求</w:t>
      </w:r>
    </w:p>
    <w:p>
      <w:pPr>
        <w:ind w:left="-4" w:leftChars="-2" w:firstLine="480" w:firstLineChars="200"/>
        <w:rPr>
          <w:rFonts w:asciiTheme="minorEastAsia" w:hAnsiTheme="minorEastAsia"/>
          <w:sz w:val="24"/>
        </w:rPr>
      </w:pPr>
      <w:r>
        <w:rPr>
          <w:rFonts w:asciiTheme="minorEastAsia" w:hAnsiTheme="minorEastAsia"/>
          <w:sz w:val="24"/>
        </w:rPr>
        <w:t>本次工程设备到货地点为石家庄市新华区石获南路66号建瓴嘉苑A座12F</w:t>
      </w:r>
      <w:r>
        <w:rPr>
          <w:rFonts w:hint="eastAsia" w:asciiTheme="minorEastAsia" w:hAnsiTheme="minorEastAsia"/>
          <w:sz w:val="24"/>
        </w:rPr>
        <w:t>河北建工集团设计研究院。</w:t>
      </w:r>
    </w:p>
    <w:p>
      <w:pPr>
        <w:pStyle w:val="5"/>
        <w:rPr>
          <w:rFonts w:cs="Times New Roman" w:asciiTheme="minorEastAsia" w:hAnsiTheme="minorEastAsia" w:eastAsiaTheme="minorEastAsia"/>
          <w:sz w:val="24"/>
          <w:szCs w:val="24"/>
        </w:rPr>
      </w:pPr>
      <w:bookmarkStart w:id="376" w:name="_Toc466420759"/>
      <w:r>
        <w:rPr>
          <w:rFonts w:hint="eastAsia" w:cs="Times New Roman" w:asciiTheme="minorEastAsia" w:hAnsiTheme="minorEastAsia" w:eastAsiaTheme="minorEastAsia"/>
          <w:sz w:val="24"/>
          <w:szCs w:val="24"/>
        </w:rPr>
        <w:t>6.4</w:t>
      </w:r>
      <w:bookmarkEnd w:id="376"/>
      <w:r>
        <w:rPr>
          <w:rFonts w:hint="eastAsia" w:cs="Times New Roman" w:asciiTheme="minorEastAsia" w:hAnsiTheme="minorEastAsia" w:eastAsiaTheme="minorEastAsia"/>
          <w:sz w:val="24"/>
          <w:szCs w:val="24"/>
        </w:rPr>
        <w:t>项目管理</w:t>
      </w:r>
    </w:p>
    <w:p>
      <w:pPr>
        <w:ind w:left="-4" w:leftChars="-2" w:firstLine="480" w:firstLineChars="200"/>
        <w:rPr>
          <w:rFonts w:asciiTheme="minorEastAsia" w:hAnsiTheme="minorEastAsia"/>
          <w:sz w:val="24"/>
        </w:rPr>
      </w:pPr>
      <w:r>
        <w:rPr>
          <w:rFonts w:asciiTheme="minorEastAsia" w:hAnsiTheme="minorEastAsia"/>
          <w:sz w:val="24"/>
        </w:rPr>
        <w:t>中标人在工程实施过程中，需对项目进行规范化管理，要有项目管理组织、项目管理计划、项目进度计划、项目验收计划等方案，确保工程实施质量。</w:t>
      </w:r>
    </w:p>
    <w:p>
      <w:pPr>
        <w:ind w:left="-4" w:leftChars="-2" w:firstLine="480" w:firstLineChars="200"/>
        <w:rPr>
          <w:rFonts w:asciiTheme="minorEastAsia" w:hAnsiTheme="minorEastAsia"/>
          <w:sz w:val="24"/>
        </w:rPr>
      </w:pPr>
      <w:r>
        <w:rPr>
          <w:rFonts w:asciiTheme="minorEastAsia" w:hAnsiTheme="minorEastAsia"/>
          <w:sz w:val="24"/>
        </w:rPr>
        <w:t>中标人应成立相应的项目组，并指定一名专职项目经理，服从招标人的工程协调和工程调度。工程实施中，由资深工程师组成工程小组负责工程的计划及设备的安装、调试等。</w:t>
      </w:r>
    </w:p>
    <w:p>
      <w:pPr>
        <w:ind w:firstLine="480" w:firstLineChars="200"/>
        <w:rPr>
          <w:rFonts w:asciiTheme="minorEastAsia" w:hAnsiTheme="minorEastAsia"/>
          <w:sz w:val="24"/>
        </w:rPr>
      </w:pPr>
    </w:p>
    <w:p>
      <w:pPr>
        <w:ind w:firstLine="480" w:firstLineChars="200"/>
        <w:rPr>
          <w:rFonts w:asciiTheme="minorEastAsia" w:hAnsiTheme="minorEastAsia"/>
          <w:sz w:val="24"/>
        </w:rPr>
      </w:pPr>
    </w:p>
    <w:p>
      <w:pPr>
        <w:ind w:firstLine="480" w:firstLineChars="200"/>
        <w:rPr>
          <w:rFonts w:asciiTheme="minorEastAsia" w:hAnsiTheme="minorEastAsia"/>
          <w:sz w:val="24"/>
        </w:rPr>
      </w:pPr>
    </w:p>
    <w:p>
      <w:pPr>
        <w:ind w:firstLine="480" w:firstLineChars="200"/>
        <w:rPr>
          <w:rFonts w:asciiTheme="minorEastAsia" w:hAnsiTheme="minorEastAsia"/>
          <w:sz w:val="24"/>
        </w:rPr>
      </w:pPr>
    </w:p>
    <w:p>
      <w:pPr>
        <w:ind w:firstLine="480" w:firstLineChars="200"/>
        <w:rPr>
          <w:rFonts w:asciiTheme="minorEastAsia" w:hAnsiTheme="minorEastAsia"/>
          <w:sz w:val="24"/>
        </w:rPr>
      </w:pPr>
    </w:p>
    <w:p>
      <w:pPr>
        <w:jc w:val="center"/>
        <w:outlineLvl w:val="0"/>
        <w:rPr>
          <w:rFonts w:asciiTheme="minorEastAsia" w:hAnsiTheme="minorEastAsia"/>
          <w:sz w:val="44"/>
        </w:rPr>
      </w:pPr>
      <w:r>
        <w:rPr>
          <w:rFonts w:hint="eastAsia" w:asciiTheme="minorEastAsia" w:hAnsiTheme="minorEastAsia"/>
          <w:sz w:val="44"/>
        </w:rPr>
        <w:t>第四卷评标办法</w:t>
      </w:r>
      <w:r>
        <w:rPr>
          <w:rFonts w:hint="eastAsia"/>
        </w:rPr>
        <w:t xml:space="preserve"> </w:t>
      </w:r>
    </w:p>
    <w:p>
      <w:pPr>
        <w:rPr>
          <w:rFonts w:ascii="宋体" w:hAnsi="宋体" w:cs="宋体"/>
          <w:b/>
          <w:bCs/>
          <w:sz w:val="24"/>
        </w:rPr>
      </w:pPr>
      <w:r>
        <w:rPr>
          <w:rFonts w:asciiTheme="minorEastAsia" w:hAnsiTheme="minorEastAsia"/>
          <w:sz w:val="24"/>
        </w:rPr>
        <w:t>技术部分评分（40分）</w:t>
      </w:r>
      <w:r>
        <w:rPr>
          <w:rFonts w:hint="eastAsia" w:asciiTheme="minorEastAsia" w:hAnsiTheme="minorEastAsia"/>
          <w:sz w:val="24"/>
        </w:rPr>
        <w:t>：</w:t>
      </w:r>
    </w:p>
    <w:tbl>
      <w:tblPr>
        <w:tblStyle w:val="34"/>
        <w:tblW w:w="884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1"/>
        <w:gridCol w:w="1566"/>
        <w:gridCol w:w="783"/>
        <w:gridCol w:w="58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621" w:type="dxa"/>
            <w:vAlign w:val="center"/>
          </w:tcPr>
          <w:p>
            <w:pPr>
              <w:jc w:val="center"/>
              <w:rPr>
                <w:rFonts w:ascii="宋体" w:hAnsi="宋体" w:cs="宋体"/>
                <w:b/>
                <w:bCs/>
                <w:kern w:val="2"/>
                <w:sz w:val="24"/>
                <w:szCs w:val="22"/>
              </w:rPr>
            </w:pPr>
            <w:r>
              <w:rPr>
                <w:rFonts w:hint="eastAsia" w:ascii="宋体" w:hAnsi="宋体" w:cs="宋体"/>
                <w:b/>
                <w:bCs/>
                <w:kern w:val="2"/>
                <w:sz w:val="24"/>
                <w:szCs w:val="22"/>
              </w:rPr>
              <w:t>序号</w:t>
            </w:r>
          </w:p>
        </w:tc>
        <w:tc>
          <w:tcPr>
            <w:tcW w:w="1566" w:type="dxa"/>
            <w:vAlign w:val="center"/>
          </w:tcPr>
          <w:p>
            <w:pPr>
              <w:jc w:val="center"/>
              <w:rPr>
                <w:rFonts w:ascii="宋体" w:hAnsi="宋体" w:cs="宋体"/>
                <w:b/>
                <w:bCs/>
                <w:kern w:val="2"/>
                <w:sz w:val="24"/>
                <w:szCs w:val="22"/>
              </w:rPr>
            </w:pPr>
            <w:r>
              <w:rPr>
                <w:rFonts w:hint="eastAsia" w:ascii="宋体" w:hAnsi="宋体" w:cs="宋体"/>
                <w:b/>
                <w:bCs/>
                <w:kern w:val="2"/>
                <w:sz w:val="24"/>
                <w:szCs w:val="22"/>
              </w:rPr>
              <w:t>评审内容</w:t>
            </w:r>
          </w:p>
        </w:tc>
        <w:tc>
          <w:tcPr>
            <w:tcW w:w="783" w:type="dxa"/>
            <w:vAlign w:val="center"/>
          </w:tcPr>
          <w:p>
            <w:pPr>
              <w:jc w:val="center"/>
              <w:rPr>
                <w:rFonts w:ascii="宋体" w:hAnsi="宋体" w:cs="宋体"/>
                <w:b/>
                <w:bCs/>
                <w:kern w:val="2"/>
                <w:sz w:val="24"/>
                <w:szCs w:val="22"/>
              </w:rPr>
            </w:pPr>
            <w:r>
              <w:rPr>
                <w:rFonts w:hint="eastAsia" w:ascii="宋体" w:hAnsi="宋体" w:cs="宋体"/>
                <w:b/>
                <w:bCs/>
                <w:kern w:val="2"/>
                <w:sz w:val="24"/>
                <w:szCs w:val="22"/>
              </w:rPr>
              <w:t>分值</w:t>
            </w:r>
          </w:p>
        </w:tc>
        <w:tc>
          <w:tcPr>
            <w:tcW w:w="5870" w:type="dxa"/>
            <w:vAlign w:val="center"/>
          </w:tcPr>
          <w:p>
            <w:pPr>
              <w:jc w:val="center"/>
              <w:rPr>
                <w:rFonts w:ascii="宋体" w:hAnsi="宋体" w:cs="宋体"/>
                <w:b/>
                <w:bCs/>
                <w:kern w:val="2"/>
                <w:sz w:val="24"/>
                <w:szCs w:val="22"/>
              </w:rPr>
            </w:pPr>
            <w:r>
              <w:rPr>
                <w:rFonts w:hint="eastAsia" w:ascii="宋体" w:hAnsi="宋体" w:cs="宋体"/>
                <w:b/>
                <w:bCs/>
                <w:kern w:val="2"/>
                <w:sz w:val="24"/>
                <w:szCs w:val="22"/>
              </w:rPr>
              <w:t>评审标准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8" w:hRule="atLeast"/>
        </w:trPr>
        <w:tc>
          <w:tcPr>
            <w:tcW w:w="621" w:type="dxa"/>
            <w:vAlign w:val="center"/>
          </w:tcPr>
          <w:p>
            <w:pPr>
              <w:jc w:val="center"/>
              <w:rPr>
                <w:rFonts w:ascii="宋体" w:hAnsi="宋体" w:cs="宋体"/>
                <w:bCs/>
                <w:kern w:val="2"/>
                <w:sz w:val="24"/>
                <w:szCs w:val="22"/>
              </w:rPr>
            </w:pPr>
            <w:r>
              <w:rPr>
                <w:rFonts w:hint="eastAsia" w:ascii="宋体" w:hAnsi="宋体" w:cs="宋体"/>
                <w:bCs/>
                <w:kern w:val="2"/>
                <w:sz w:val="24"/>
                <w:szCs w:val="22"/>
              </w:rPr>
              <w:t>1</w:t>
            </w:r>
          </w:p>
        </w:tc>
        <w:tc>
          <w:tcPr>
            <w:tcW w:w="1566" w:type="dxa"/>
            <w:vAlign w:val="center"/>
          </w:tcPr>
          <w:p>
            <w:pPr>
              <w:jc w:val="center"/>
              <w:rPr>
                <w:rFonts w:ascii="宋体" w:hAnsi="宋体" w:cs="宋体"/>
                <w:bCs/>
                <w:kern w:val="2"/>
                <w:sz w:val="21"/>
                <w:szCs w:val="21"/>
              </w:rPr>
            </w:pPr>
            <w:r>
              <w:rPr>
                <w:rFonts w:hint="eastAsia" w:ascii="宋体" w:hAnsi="宋体" w:cs="宋体"/>
                <w:bCs/>
                <w:kern w:val="2"/>
                <w:sz w:val="21"/>
                <w:szCs w:val="21"/>
              </w:rPr>
              <w:t>货物详细说明</w:t>
            </w:r>
          </w:p>
        </w:tc>
        <w:tc>
          <w:tcPr>
            <w:tcW w:w="783" w:type="dxa"/>
            <w:vAlign w:val="center"/>
          </w:tcPr>
          <w:p>
            <w:pPr>
              <w:jc w:val="center"/>
              <w:rPr>
                <w:rFonts w:ascii="宋体" w:hAnsi="宋体" w:cs="宋体"/>
                <w:bCs/>
                <w:kern w:val="2"/>
                <w:sz w:val="21"/>
                <w:szCs w:val="21"/>
              </w:rPr>
            </w:pPr>
            <w:r>
              <w:rPr>
                <w:rFonts w:ascii="宋体" w:hAnsi="宋体" w:cs="宋体"/>
                <w:bCs/>
                <w:kern w:val="2"/>
                <w:sz w:val="21"/>
                <w:szCs w:val="21"/>
              </w:rPr>
              <w:t>5</w:t>
            </w:r>
          </w:p>
        </w:tc>
        <w:tc>
          <w:tcPr>
            <w:tcW w:w="5870" w:type="dxa"/>
            <w:vAlign w:val="center"/>
          </w:tcPr>
          <w:p>
            <w:pPr>
              <w:rPr>
                <w:rFonts w:ascii="宋体" w:hAnsi="宋体" w:cs="宋体"/>
                <w:bCs/>
                <w:kern w:val="2"/>
                <w:sz w:val="21"/>
                <w:szCs w:val="21"/>
              </w:rPr>
            </w:pPr>
            <w:r>
              <w:rPr>
                <w:rFonts w:hint="eastAsia" w:ascii="宋体" w:hAnsi="宋体" w:cs="宋体"/>
                <w:bCs/>
                <w:kern w:val="2"/>
                <w:sz w:val="21"/>
                <w:szCs w:val="21"/>
              </w:rPr>
              <w:t>货物说明完善、详细充分满足招标人需求的得4-</w:t>
            </w:r>
            <w:r>
              <w:rPr>
                <w:rFonts w:ascii="宋体" w:hAnsi="宋体" w:cs="宋体"/>
                <w:bCs/>
                <w:kern w:val="2"/>
                <w:sz w:val="21"/>
                <w:szCs w:val="21"/>
              </w:rPr>
              <w:t>5</w:t>
            </w:r>
            <w:r>
              <w:rPr>
                <w:rFonts w:hint="eastAsia" w:ascii="宋体" w:hAnsi="宋体" w:cs="宋体"/>
                <w:bCs/>
                <w:kern w:val="2"/>
                <w:sz w:val="21"/>
                <w:szCs w:val="21"/>
              </w:rPr>
              <w:t>分；货物说明一般的得2-</w:t>
            </w:r>
            <w:r>
              <w:rPr>
                <w:rFonts w:ascii="宋体" w:hAnsi="宋体" w:cs="宋体"/>
                <w:bCs/>
                <w:kern w:val="2"/>
                <w:sz w:val="21"/>
                <w:szCs w:val="21"/>
              </w:rPr>
              <w:t>3</w:t>
            </w:r>
            <w:r>
              <w:rPr>
                <w:rFonts w:hint="eastAsia" w:ascii="宋体" w:hAnsi="宋体" w:cs="宋体"/>
                <w:bCs/>
                <w:kern w:val="2"/>
                <w:sz w:val="21"/>
                <w:szCs w:val="21"/>
              </w:rPr>
              <w:t>分；货物说明不完善或无货物说明的得0-</w:t>
            </w:r>
            <w:r>
              <w:rPr>
                <w:rFonts w:ascii="宋体" w:hAnsi="宋体" w:cs="宋体"/>
                <w:bCs/>
                <w:kern w:val="2"/>
                <w:sz w:val="21"/>
                <w:szCs w:val="21"/>
              </w:rPr>
              <w:t>1</w:t>
            </w:r>
            <w:r>
              <w:rPr>
                <w:rFonts w:hint="eastAsia" w:ascii="宋体" w:hAnsi="宋体" w:cs="宋体"/>
                <w:bCs/>
                <w:kern w:val="2"/>
                <w:sz w:val="21"/>
                <w:szCs w:val="21"/>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4" w:hRule="atLeast"/>
        </w:trPr>
        <w:tc>
          <w:tcPr>
            <w:tcW w:w="621" w:type="dxa"/>
            <w:vAlign w:val="center"/>
          </w:tcPr>
          <w:p>
            <w:pPr>
              <w:jc w:val="center"/>
              <w:rPr>
                <w:rFonts w:ascii="宋体" w:hAnsi="宋体" w:cs="宋体"/>
                <w:bCs/>
                <w:kern w:val="2"/>
                <w:sz w:val="21"/>
                <w:szCs w:val="21"/>
              </w:rPr>
            </w:pPr>
            <w:r>
              <w:rPr>
                <w:rFonts w:hint="eastAsia" w:ascii="宋体" w:hAnsi="宋体" w:cs="宋体"/>
                <w:bCs/>
                <w:kern w:val="2"/>
                <w:sz w:val="21"/>
                <w:szCs w:val="21"/>
              </w:rPr>
              <w:t>2</w:t>
            </w:r>
          </w:p>
        </w:tc>
        <w:tc>
          <w:tcPr>
            <w:tcW w:w="1566" w:type="dxa"/>
            <w:vAlign w:val="center"/>
          </w:tcPr>
          <w:p>
            <w:pPr>
              <w:jc w:val="center"/>
              <w:rPr>
                <w:rFonts w:ascii="宋体" w:hAnsi="宋体" w:cs="宋体"/>
                <w:bCs/>
                <w:kern w:val="2"/>
                <w:sz w:val="21"/>
                <w:szCs w:val="21"/>
              </w:rPr>
            </w:pPr>
            <w:r>
              <w:rPr>
                <w:rFonts w:hint="eastAsia" w:ascii="宋体" w:hAnsi="宋体" w:cs="宋体"/>
                <w:bCs/>
                <w:kern w:val="2"/>
                <w:sz w:val="21"/>
                <w:szCs w:val="21"/>
              </w:rPr>
              <w:t>货物质量保证措施</w:t>
            </w:r>
          </w:p>
        </w:tc>
        <w:tc>
          <w:tcPr>
            <w:tcW w:w="783" w:type="dxa"/>
            <w:vAlign w:val="center"/>
          </w:tcPr>
          <w:p>
            <w:pPr>
              <w:jc w:val="center"/>
              <w:rPr>
                <w:rFonts w:ascii="宋体" w:hAnsi="宋体" w:cs="宋体"/>
                <w:bCs/>
                <w:kern w:val="2"/>
                <w:sz w:val="21"/>
                <w:szCs w:val="21"/>
              </w:rPr>
            </w:pPr>
            <w:r>
              <w:rPr>
                <w:rFonts w:ascii="宋体" w:hAnsi="宋体" w:cs="宋体"/>
                <w:bCs/>
                <w:kern w:val="2"/>
                <w:sz w:val="21"/>
                <w:szCs w:val="21"/>
              </w:rPr>
              <w:t>10</w:t>
            </w:r>
          </w:p>
        </w:tc>
        <w:tc>
          <w:tcPr>
            <w:tcW w:w="5870" w:type="dxa"/>
            <w:vAlign w:val="center"/>
          </w:tcPr>
          <w:p>
            <w:pPr>
              <w:rPr>
                <w:rFonts w:ascii="宋体" w:hAnsi="宋体" w:cs="宋体"/>
                <w:bCs/>
                <w:kern w:val="2"/>
                <w:sz w:val="21"/>
                <w:szCs w:val="21"/>
              </w:rPr>
            </w:pPr>
            <w:r>
              <w:rPr>
                <w:rFonts w:hint="eastAsia" w:ascii="宋体" w:hAnsi="宋体" w:cs="宋体"/>
                <w:bCs/>
                <w:kern w:val="2"/>
                <w:sz w:val="21"/>
                <w:szCs w:val="21"/>
              </w:rPr>
              <w:t>质量保证措施细致、周到、满足用户要求的得</w:t>
            </w:r>
            <w:r>
              <w:rPr>
                <w:rFonts w:ascii="宋体" w:hAnsi="宋体" w:cs="宋体"/>
                <w:bCs/>
                <w:kern w:val="2"/>
                <w:sz w:val="21"/>
                <w:szCs w:val="21"/>
              </w:rPr>
              <w:t>8</w:t>
            </w:r>
            <w:r>
              <w:rPr>
                <w:rFonts w:hint="eastAsia" w:ascii="宋体" w:hAnsi="宋体" w:cs="宋体"/>
                <w:bCs/>
                <w:kern w:val="2"/>
                <w:sz w:val="21"/>
                <w:szCs w:val="21"/>
              </w:rPr>
              <w:t>-</w:t>
            </w:r>
            <w:r>
              <w:rPr>
                <w:rFonts w:ascii="宋体" w:hAnsi="宋体" w:cs="宋体"/>
                <w:bCs/>
                <w:kern w:val="2"/>
                <w:sz w:val="21"/>
                <w:szCs w:val="21"/>
              </w:rPr>
              <w:t>10</w:t>
            </w:r>
            <w:r>
              <w:rPr>
                <w:rFonts w:hint="eastAsia" w:ascii="宋体" w:hAnsi="宋体" w:cs="宋体"/>
                <w:bCs/>
                <w:kern w:val="2"/>
                <w:sz w:val="21"/>
                <w:szCs w:val="21"/>
              </w:rPr>
              <w:t>分；质量保证措施一般的得</w:t>
            </w:r>
            <w:r>
              <w:rPr>
                <w:rFonts w:ascii="宋体" w:hAnsi="宋体" w:cs="宋体"/>
                <w:bCs/>
                <w:kern w:val="2"/>
                <w:sz w:val="21"/>
                <w:szCs w:val="21"/>
              </w:rPr>
              <w:t>5</w:t>
            </w:r>
            <w:r>
              <w:rPr>
                <w:rFonts w:hint="eastAsia" w:ascii="宋体" w:hAnsi="宋体" w:cs="宋体"/>
                <w:bCs/>
                <w:kern w:val="2"/>
                <w:sz w:val="21"/>
                <w:szCs w:val="21"/>
              </w:rPr>
              <w:t>-</w:t>
            </w:r>
            <w:r>
              <w:rPr>
                <w:rFonts w:ascii="宋体" w:hAnsi="宋体" w:cs="宋体"/>
                <w:bCs/>
                <w:kern w:val="2"/>
                <w:sz w:val="21"/>
                <w:szCs w:val="21"/>
              </w:rPr>
              <w:t>7</w:t>
            </w:r>
            <w:r>
              <w:rPr>
                <w:rFonts w:hint="eastAsia" w:ascii="宋体" w:hAnsi="宋体" w:cs="宋体"/>
                <w:bCs/>
                <w:kern w:val="2"/>
                <w:sz w:val="21"/>
                <w:szCs w:val="21"/>
              </w:rPr>
              <w:t>分；质量保证措施很难满足用户要求的得0-4分。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2" w:hRule="atLeast"/>
        </w:trPr>
        <w:tc>
          <w:tcPr>
            <w:tcW w:w="621" w:type="dxa"/>
            <w:vAlign w:val="center"/>
          </w:tcPr>
          <w:p>
            <w:pPr>
              <w:tabs>
                <w:tab w:val="left" w:pos="735"/>
                <w:tab w:val="center" w:pos="820"/>
              </w:tabs>
              <w:jc w:val="center"/>
              <w:rPr>
                <w:rFonts w:ascii="宋体" w:hAnsi="宋体" w:cs="宋体"/>
                <w:bCs/>
                <w:kern w:val="2"/>
                <w:sz w:val="21"/>
                <w:szCs w:val="21"/>
              </w:rPr>
            </w:pPr>
            <w:r>
              <w:rPr>
                <w:rFonts w:hint="eastAsia" w:ascii="宋体" w:hAnsi="宋体" w:cs="宋体"/>
                <w:bCs/>
                <w:kern w:val="2"/>
                <w:sz w:val="21"/>
                <w:szCs w:val="21"/>
              </w:rPr>
              <w:t>3</w:t>
            </w:r>
          </w:p>
        </w:tc>
        <w:tc>
          <w:tcPr>
            <w:tcW w:w="1566" w:type="dxa"/>
            <w:vAlign w:val="center"/>
          </w:tcPr>
          <w:p>
            <w:pPr>
              <w:jc w:val="center"/>
              <w:rPr>
                <w:rFonts w:ascii="宋体" w:hAnsi="宋体" w:cs="宋体"/>
                <w:bCs/>
                <w:kern w:val="2"/>
                <w:sz w:val="21"/>
                <w:szCs w:val="21"/>
              </w:rPr>
            </w:pPr>
            <w:r>
              <w:rPr>
                <w:rFonts w:hint="eastAsia" w:ascii="宋体" w:hAnsi="宋体" w:cs="宋体"/>
                <w:bCs/>
                <w:kern w:val="2"/>
                <w:sz w:val="21"/>
                <w:szCs w:val="21"/>
              </w:rPr>
              <w:t>供货期保证措施</w:t>
            </w:r>
          </w:p>
        </w:tc>
        <w:tc>
          <w:tcPr>
            <w:tcW w:w="783" w:type="dxa"/>
            <w:vAlign w:val="center"/>
          </w:tcPr>
          <w:p>
            <w:pPr>
              <w:jc w:val="center"/>
              <w:rPr>
                <w:rFonts w:ascii="宋体" w:hAnsi="宋体" w:cs="宋体"/>
                <w:bCs/>
                <w:kern w:val="2"/>
                <w:sz w:val="21"/>
                <w:szCs w:val="21"/>
              </w:rPr>
            </w:pPr>
            <w:r>
              <w:rPr>
                <w:rFonts w:ascii="宋体" w:hAnsi="宋体" w:cs="宋体"/>
                <w:bCs/>
                <w:kern w:val="2"/>
                <w:sz w:val="21"/>
                <w:szCs w:val="21"/>
              </w:rPr>
              <w:t>5</w:t>
            </w:r>
          </w:p>
        </w:tc>
        <w:tc>
          <w:tcPr>
            <w:tcW w:w="5870" w:type="dxa"/>
            <w:vAlign w:val="center"/>
          </w:tcPr>
          <w:p>
            <w:pPr>
              <w:rPr>
                <w:rFonts w:ascii="宋体" w:hAnsi="宋体" w:cs="宋体"/>
                <w:bCs/>
                <w:kern w:val="2"/>
                <w:sz w:val="21"/>
                <w:szCs w:val="21"/>
              </w:rPr>
            </w:pPr>
            <w:r>
              <w:rPr>
                <w:rFonts w:hint="eastAsia" w:ascii="宋体" w:hAnsi="宋体" w:cs="宋体"/>
                <w:bCs/>
                <w:kern w:val="2"/>
                <w:sz w:val="21"/>
                <w:szCs w:val="21"/>
              </w:rPr>
              <w:t>供货期保证措施高于招标文件要求的得4-</w:t>
            </w:r>
            <w:r>
              <w:rPr>
                <w:rFonts w:ascii="宋体" w:hAnsi="宋体" w:cs="宋体"/>
                <w:bCs/>
                <w:kern w:val="2"/>
                <w:sz w:val="21"/>
                <w:szCs w:val="21"/>
              </w:rPr>
              <w:t>5</w:t>
            </w:r>
            <w:r>
              <w:rPr>
                <w:rFonts w:hint="eastAsia" w:ascii="宋体" w:hAnsi="宋体" w:cs="宋体"/>
                <w:bCs/>
                <w:kern w:val="2"/>
                <w:sz w:val="21"/>
                <w:szCs w:val="21"/>
              </w:rPr>
              <w:t>分；供货期保证措施基本满足招标文件要求的得2-</w:t>
            </w:r>
            <w:r>
              <w:rPr>
                <w:rFonts w:ascii="宋体" w:hAnsi="宋体" w:cs="宋体"/>
                <w:bCs/>
                <w:kern w:val="2"/>
                <w:sz w:val="21"/>
                <w:szCs w:val="21"/>
              </w:rPr>
              <w:t>3</w:t>
            </w:r>
            <w:r>
              <w:rPr>
                <w:rFonts w:hint="eastAsia" w:ascii="宋体" w:hAnsi="宋体" w:cs="宋体"/>
                <w:bCs/>
                <w:kern w:val="2"/>
                <w:sz w:val="21"/>
                <w:szCs w:val="21"/>
              </w:rPr>
              <w:t>分；供货期保证措施很难满足招标文件要求的得0-</w:t>
            </w:r>
            <w:r>
              <w:rPr>
                <w:rFonts w:ascii="宋体" w:hAnsi="宋体" w:cs="宋体"/>
                <w:bCs/>
                <w:kern w:val="2"/>
                <w:sz w:val="21"/>
                <w:szCs w:val="21"/>
              </w:rPr>
              <w:t>1</w:t>
            </w:r>
            <w:r>
              <w:rPr>
                <w:rFonts w:hint="eastAsia" w:ascii="宋体" w:hAnsi="宋体" w:cs="宋体"/>
                <w:bCs/>
                <w:kern w:val="2"/>
                <w:sz w:val="21"/>
                <w:szCs w:val="21"/>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79" w:hRule="atLeast"/>
        </w:trPr>
        <w:tc>
          <w:tcPr>
            <w:tcW w:w="621" w:type="dxa"/>
            <w:vAlign w:val="center"/>
          </w:tcPr>
          <w:p>
            <w:pPr>
              <w:jc w:val="center"/>
              <w:rPr>
                <w:rFonts w:ascii="宋体" w:hAnsi="宋体" w:cs="宋体"/>
                <w:bCs/>
                <w:kern w:val="2"/>
                <w:sz w:val="21"/>
                <w:szCs w:val="21"/>
              </w:rPr>
            </w:pPr>
            <w:r>
              <w:rPr>
                <w:rFonts w:hint="eastAsia" w:ascii="宋体" w:hAnsi="宋体" w:cs="宋体"/>
                <w:bCs/>
                <w:kern w:val="2"/>
                <w:sz w:val="21"/>
                <w:szCs w:val="21"/>
              </w:rPr>
              <w:t>4</w:t>
            </w:r>
          </w:p>
        </w:tc>
        <w:tc>
          <w:tcPr>
            <w:tcW w:w="1566" w:type="dxa"/>
            <w:vAlign w:val="center"/>
          </w:tcPr>
          <w:p>
            <w:pPr>
              <w:jc w:val="center"/>
              <w:rPr>
                <w:rFonts w:ascii="宋体" w:hAnsi="宋体" w:cs="宋体"/>
                <w:bCs/>
                <w:kern w:val="2"/>
                <w:sz w:val="21"/>
                <w:szCs w:val="21"/>
              </w:rPr>
            </w:pPr>
            <w:r>
              <w:rPr>
                <w:rFonts w:hint="eastAsia" w:ascii="宋体" w:hAnsi="宋体" w:cs="宋体"/>
                <w:bCs/>
                <w:kern w:val="2"/>
                <w:sz w:val="21"/>
                <w:szCs w:val="21"/>
              </w:rPr>
              <w:t>技术标响应情况</w:t>
            </w:r>
          </w:p>
        </w:tc>
        <w:tc>
          <w:tcPr>
            <w:tcW w:w="783" w:type="dxa"/>
            <w:vAlign w:val="center"/>
          </w:tcPr>
          <w:p>
            <w:pPr>
              <w:jc w:val="center"/>
              <w:rPr>
                <w:rFonts w:ascii="宋体" w:hAnsi="宋体" w:cs="宋体"/>
                <w:bCs/>
                <w:kern w:val="2"/>
                <w:sz w:val="21"/>
                <w:szCs w:val="21"/>
              </w:rPr>
            </w:pPr>
            <w:r>
              <w:rPr>
                <w:rFonts w:ascii="宋体" w:hAnsi="宋体" w:cs="宋体"/>
                <w:bCs/>
                <w:kern w:val="2"/>
                <w:sz w:val="21"/>
                <w:szCs w:val="21"/>
              </w:rPr>
              <w:t>10</w:t>
            </w:r>
          </w:p>
        </w:tc>
        <w:tc>
          <w:tcPr>
            <w:tcW w:w="5870" w:type="dxa"/>
            <w:vAlign w:val="center"/>
          </w:tcPr>
          <w:p>
            <w:pPr>
              <w:rPr>
                <w:rFonts w:ascii="宋体" w:hAnsi="宋体" w:cs="宋体"/>
                <w:bCs/>
                <w:kern w:val="2"/>
                <w:sz w:val="21"/>
                <w:szCs w:val="21"/>
              </w:rPr>
            </w:pPr>
            <w:r>
              <w:rPr>
                <w:rFonts w:hint="eastAsia" w:ascii="宋体" w:hAnsi="宋体" w:cs="宋体"/>
                <w:bCs/>
                <w:kern w:val="2"/>
                <w:sz w:val="21"/>
                <w:szCs w:val="21"/>
              </w:rPr>
              <w:t>投标货物性能指标优于招标文件要求，配置合理完整的得</w:t>
            </w:r>
            <w:r>
              <w:rPr>
                <w:rFonts w:ascii="宋体" w:hAnsi="宋体" w:cs="宋体"/>
                <w:bCs/>
                <w:kern w:val="2"/>
                <w:sz w:val="21"/>
                <w:szCs w:val="21"/>
              </w:rPr>
              <w:t>8</w:t>
            </w:r>
            <w:r>
              <w:rPr>
                <w:rFonts w:hint="eastAsia" w:ascii="宋体" w:hAnsi="宋体" w:cs="宋体"/>
                <w:bCs/>
                <w:kern w:val="2"/>
                <w:sz w:val="21"/>
                <w:szCs w:val="21"/>
              </w:rPr>
              <w:t>-1</w:t>
            </w:r>
            <w:r>
              <w:rPr>
                <w:rFonts w:ascii="宋体" w:hAnsi="宋体" w:cs="宋体"/>
                <w:bCs/>
                <w:kern w:val="2"/>
                <w:sz w:val="21"/>
                <w:szCs w:val="21"/>
              </w:rPr>
              <w:t>0</w:t>
            </w:r>
            <w:r>
              <w:rPr>
                <w:rFonts w:hint="eastAsia" w:ascii="宋体" w:hAnsi="宋体" w:cs="宋体"/>
                <w:bCs/>
                <w:kern w:val="2"/>
                <w:sz w:val="21"/>
                <w:szCs w:val="21"/>
              </w:rPr>
              <w:t>分；投标货物的性能指标符合招标文件要求，配置完整的</w:t>
            </w:r>
            <w:r>
              <w:rPr>
                <w:rFonts w:ascii="宋体" w:hAnsi="宋体" w:cs="宋体"/>
                <w:bCs/>
                <w:kern w:val="2"/>
                <w:sz w:val="21"/>
                <w:szCs w:val="21"/>
              </w:rPr>
              <w:t>5</w:t>
            </w:r>
            <w:r>
              <w:rPr>
                <w:rFonts w:hint="eastAsia" w:ascii="宋体" w:hAnsi="宋体" w:cs="宋体"/>
                <w:bCs/>
                <w:kern w:val="2"/>
                <w:sz w:val="21"/>
                <w:szCs w:val="21"/>
              </w:rPr>
              <w:t>-7分；投标货物的性能指标低于招标文件要求的得0-4分.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65" w:hRule="atLeast"/>
        </w:trPr>
        <w:tc>
          <w:tcPr>
            <w:tcW w:w="621" w:type="dxa"/>
            <w:vAlign w:val="center"/>
          </w:tcPr>
          <w:p>
            <w:pPr>
              <w:jc w:val="center"/>
              <w:rPr>
                <w:rFonts w:ascii="宋体" w:hAnsi="宋体" w:cs="宋体"/>
                <w:bCs/>
                <w:kern w:val="2"/>
                <w:sz w:val="21"/>
                <w:szCs w:val="21"/>
              </w:rPr>
            </w:pPr>
            <w:r>
              <w:rPr>
                <w:rFonts w:hint="eastAsia" w:ascii="宋体" w:hAnsi="宋体" w:cs="宋体"/>
                <w:bCs/>
                <w:kern w:val="2"/>
                <w:sz w:val="21"/>
                <w:szCs w:val="21"/>
              </w:rPr>
              <w:t>5</w:t>
            </w:r>
          </w:p>
        </w:tc>
        <w:tc>
          <w:tcPr>
            <w:tcW w:w="1566" w:type="dxa"/>
            <w:vAlign w:val="center"/>
          </w:tcPr>
          <w:p>
            <w:pPr>
              <w:jc w:val="center"/>
              <w:rPr>
                <w:rFonts w:ascii="宋体" w:hAnsi="宋体" w:cs="宋体"/>
                <w:bCs/>
                <w:kern w:val="2"/>
                <w:sz w:val="21"/>
                <w:szCs w:val="21"/>
              </w:rPr>
            </w:pPr>
            <w:r>
              <w:rPr>
                <w:rFonts w:hint="eastAsia" w:ascii="宋体" w:hAnsi="宋体" w:cs="宋体"/>
                <w:bCs/>
                <w:kern w:val="2"/>
                <w:sz w:val="21"/>
                <w:szCs w:val="21"/>
              </w:rPr>
              <w:t>售后服务体系</w:t>
            </w:r>
          </w:p>
        </w:tc>
        <w:tc>
          <w:tcPr>
            <w:tcW w:w="783" w:type="dxa"/>
            <w:vAlign w:val="center"/>
          </w:tcPr>
          <w:p>
            <w:pPr>
              <w:jc w:val="center"/>
              <w:rPr>
                <w:rFonts w:ascii="宋体" w:hAnsi="宋体" w:cs="宋体"/>
                <w:bCs/>
                <w:kern w:val="2"/>
                <w:sz w:val="21"/>
                <w:szCs w:val="21"/>
              </w:rPr>
            </w:pPr>
            <w:r>
              <w:rPr>
                <w:rFonts w:hint="eastAsia" w:ascii="宋体" w:hAnsi="宋体" w:cs="宋体"/>
                <w:bCs/>
                <w:kern w:val="2"/>
                <w:sz w:val="21"/>
                <w:szCs w:val="21"/>
              </w:rPr>
              <w:t>1</w:t>
            </w:r>
            <w:r>
              <w:rPr>
                <w:rFonts w:ascii="宋体" w:hAnsi="宋体" w:cs="宋体"/>
                <w:bCs/>
                <w:kern w:val="2"/>
                <w:sz w:val="21"/>
                <w:szCs w:val="21"/>
              </w:rPr>
              <w:t>0</w:t>
            </w:r>
          </w:p>
        </w:tc>
        <w:tc>
          <w:tcPr>
            <w:tcW w:w="5870" w:type="dxa"/>
            <w:vAlign w:val="center"/>
          </w:tcPr>
          <w:p>
            <w:pPr>
              <w:rPr>
                <w:rFonts w:ascii="宋体" w:hAnsi="宋体" w:cs="宋体"/>
                <w:bCs/>
                <w:kern w:val="2"/>
                <w:sz w:val="21"/>
                <w:szCs w:val="21"/>
              </w:rPr>
            </w:pPr>
            <w:r>
              <w:rPr>
                <w:rFonts w:hint="eastAsia" w:ascii="宋体" w:hAnsi="宋体" w:cs="宋体"/>
                <w:bCs/>
                <w:kern w:val="2"/>
                <w:sz w:val="21"/>
                <w:szCs w:val="21"/>
              </w:rPr>
              <w:t>售后服务承诺细致、满足用户要求、售后服务体系完备且售后服务承诺周到的得</w:t>
            </w:r>
            <w:r>
              <w:rPr>
                <w:rFonts w:ascii="宋体" w:hAnsi="宋体" w:cs="宋体"/>
                <w:bCs/>
                <w:kern w:val="2"/>
                <w:sz w:val="21"/>
                <w:szCs w:val="21"/>
              </w:rPr>
              <w:t>8</w:t>
            </w:r>
            <w:r>
              <w:rPr>
                <w:rFonts w:hint="eastAsia" w:ascii="宋体" w:hAnsi="宋体" w:cs="宋体"/>
                <w:bCs/>
                <w:kern w:val="2"/>
                <w:sz w:val="21"/>
                <w:szCs w:val="21"/>
              </w:rPr>
              <w:t>-1</w:t>
            </w:r>
            <w:r>
              <w:rPr>
                <w:rFonts w:ascii="宋体" w:hAnsi="宋体" w:cs="宋体"/>
                <w:bCs/>
                <w:kern w:val="2"/>
                <w:sz w:val="21"/>
                <w:szCs w:val="21"/>
              </w:rPr>
              <w:t>0</w:t>
            </w:r>
            <w:r>
              <w:rPr>
                <w:rFonts w:hint="eastAsia" w:ascii="宋体" w:hAnsi="宋体" w:cs="宋体"/>
                <w:bCs/>
                <w:kern w:val="2"/>
                <w:sz w:val="21"/>
                <w:szCs w:val="21"/>
              </w:rPr>
              <w:t>分；售后服务体系一般的得</w:t>
            </w:r>
            <w:r>
              <w:rPr>
                <w:rFonts w:ascii="宋体" w:hAnsi="宋体" w:cs="宋体"/>
                <w:bCs/>
                <w:kern w:val="2"/>
                <w:sz w:val="21"/>
                <w:szCs w:val="21"/>
              </w:rPr>
              <w:t>5</w:t>
            </w:r>
            <w:r>
              <w:rPr>
                <w:rFonts w:hint="eastAsia" w:ascii="宋体" w:hAnsi="宋体" w:cs="宋体"/>
                <w:bCs/>
                <w:kern w:val="2"/>
                <w:sz w:val="21"/>
                <w:szCs w:val="21"/>
              </w:rPr>
              <w:t>-7分。售后服务体系很难满足用户要求的得0-4分。</w:t>
            </w:r>
          </w:p>
        </w:tc>
      </w:tr>
    </w:tbl>
    <w:p>
      <w:pPr>
        <w:spacing w:line="460" w:lineRule="exact"/>
        <w:rPr>
          <w:rFonts w:ascii="宋体" w:hAnsi="宋体" w:cs="宋体"/>
          <w:bCs/>
          <w:sz w:val="24"/>
        </w:rPr>
      </w:pPr>
      <w:r>
        <w:rPr>
          <w:rFonts w:hint="eastAsia" w:ascii="宋体" w:hAnsi="宋体" w:cs="宋体"/>
          <w:bCs/>
          <w:sz w:val="24"/>
        </w:rPr>
        <w:t>报价评分（6</w:t>
      </w:r>
      <w:r>
        <w:rPr>
          <w:rFonts w:ascii="宋体" w:hAnsi="宋体" w:cs="宋体"/>
          <w:bCs/>
          <w:sz w:val="24"/>
        </w:rPr>
        <w:t>0分</w:t>
      </w:r>
      <w:r>
        <w:rPr>
          <w:rFonts w:hint="eastAsia" w:ascii="宋体" w:hAnsi="宋体" w:cs="宋体"/>
          <w:bCs/>
          <w:sz w:val="24"/>
        </w:rPr>
        <w:t>）：</w:t>
      </w:r>
    </w:p>
    <w:tbl>
      <w:tblPr>
        <w:tblStyle w:val="3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01"/>
        <w:gridCol w:w="709"/>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62"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rFonts w:hint="eastAsia"/>
                <w:kern w:val="2"/>
                <w:sz w:val="21"/>
                <w:szCs w:val="22"/>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rFonts w:hint="eastAsia"/>
                <w:kern w:val="2"/>
                <w:sz w:val="21"/>
                <w:szCs w:val="22"/>
              </w:rPr>
              <w:t>评审内容</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rFonts w:hint="eastAsia"/>
                <w:kern w:val="2"/>
                <w:sz w:val="21"/>
                <w:szCs w:val="22"/>
              </w:rPr>
              <w:t>分值</w:t>
            </w:r>
          </w:p>
        </w:tc>
        <w:tc>
          <w:tcPr>
            <w:tcW w:w="5954"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rFonts w:hint="eastAsia"/>
                <w:kern w:val="2"/>
                <w:sz w:val="21"/>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62"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rFonts w:hint="eastAsia"/>
                <w:kern w:val="2"/>
                <w:sz w:val="21"/>
                <w:szCs w:val="22"/>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rFonts w:hint="eastAsia"/>
                <w:kern w:val="2"/>
                <w:sz w:val="21"/>
                <w:szCs w:val="22"/>
              </w:rPr>
              <w:t>投标报价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kern w:val="2"/>
                <w:sz w:val="21"/>
                <w:szCs w:val="22"/>
              </w:rPr>
              <w:t>60</w:t>
            </w:r>
            <w:r>
              <w:rPr>
                <w:rFonts w:hint="eastAsia"/>
                <w:kern w:val="2"/>
                <w:sz w:val="21"/>
                <w:szCs w:val="22"/>
              </w:rPr>
              <w:t>分</w:t>
            </w:r>
          </w:p>
        </w:tc>
        <w:tc>
          <w:tcPr>
            <w:tcW w:w="5954" w:type="dxa"/>
            <w:tcBorders>
              <w:top w:val="single" w:color="auto" w:sz="4" w:space="0"/>
              <w:left w:val="single" w:color="auto" w:sz="4" w:space="0"/>
              <w:bottom w:val="single" w:color="auto" w:sz="4" w:space="0"/>
              <w:right w:val="single" w:color="auto" w:sz="4" w:space="0"/>
            </w:tcBorders>
            <w:vAlign w:val="center"/>
          </w:tcPr>
          <w:p>
            <w:pPr>
              <w:spacing w:line="400" w:lineRule="exact"/>
              <w:rPr>
                <w:kern w:val="2"/>
                <w:sz w:val="21"/>
                <w:szCs w:val="22"/>
              </w:rPr>
            </w:pPr>
            <w:r>
              <w:rPr>
                <w:rFonts w:hint="eastAsia"/>
                <w:kern w:val="2"/>
                <w:sz w:val="21"/>
                <w:szCs w:val="22"/>
              </w:rPr>
              <w:t>以所有有效投标报价中的最低价为基准价，其报价得分为满分，其他报价每高于基准价1%，扣1分，扣完为止。</w:t>
            </w:r>
          </w:p>
        </w:tc>
      </w:tr>
    </w:tbl>
    <w:p>
      <w:pPr>
        <w:spacing w:line="400" w:lineRule="exact"/>
      </w:pPr>
    </w:p>
    <w:p>
      <w:pPr>
        <w:spacing w:line="400" w:lineRule="exact"/>
      </w:pPr>
      <w:r>
        <w:rPr>
          <w:rFonts w:hint="eastAsia"/>
        </w:rPr>
        <w:t>4、总分评定：</w:t>
      </w:r>
    </w:p>
    <w:p>
      <w:pPr>
        <w:spacing w:line="400" w:lineRule="exact"/>
      </w:pPr>
      <w:r>
        <w:rPr>
          <w:rFonts w:hint="eastAsia"/>
        </w:rPr>
        <w:t xml:space="preserve">   （1）有效投标人的综合得分满分为100分。</w:t>
      </w:r>
    </w:p>
    <w:p>
      <w:pPr>
        <w:spacing w:line="400" w:lineRule="exact"/>
      </w:pPr>
      <w:r>
        <w:rPr>
          <w:rFonts w:hint="eastAsia"/>
        </w:rPr>
        <w:t xml:space="preserve">   （2）采购人授权评标委员会按照评标报告中推荐的中标候选供应商顺序确定中标供应商。评标委员会按综合得分高低顺序排列，综合得分前三名投标人依次作为该项目第一中标候选人、第二中标候选人和第三中标候选人向采购人推荐，并提交评标报告。得分相同的，按投标报价由低到高顺序排列；得分且投标报价相同的，技术指标优的排序第一。</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center"/>
        <w:outlineLvl w:val="0"/>
        <w:rPr>
          <w:rFonts w:hint="eastAsia" w:asciiTheme="minorEastAsia" w:hAnsiTheme="minorEastAsia"/>
          <w:sz w:val="44"/>
        </w:rPr>
      </w:pPr>
    </w:p>
    <w:p>
      <w:pPr>
        <w:jc w:val="center"/>
        <w:outlineLvl w:val="0"/>
        <w:rPr>
          <w:rFonts w:asciiTheme="minorEastAsia" w:hAnsiTheme="minorEastAsia"/>
          <w:sz w:val="44"/>
        </w:rPr>
      </w:pPr>
      <w:r>
        <w:rPr>
          <w:rFonts w:hint="eastAsia" w:asciiTheme="minorEastAsia" w:hAnsiTheme="minorEastAsia"/>
          <w:sz w:val="44"/>
        </w:rPr>
        <w:t>第五卷 合同主要条款</w:t>
      </w:r>
    </w:p>
    <w:p>
      <w:pPr>
        <w:widowControl w:val="0"/>
        <w:spacing w:after="0" w:line="360" w:lineRule="auto"/>
        <w:jc w:val="center"/>
        <w:rPr>
          <w:rFonts w:ascii="Times New Roman" w:hAnsi="Times New Roman" w:eastAsia="宋体" w:cs="Times New Roman"/>
          <w:b/>
          <w:kern w:val="2"/>
          <w:sz w:val="32"/>
          <w:szCs w:val="32"/>
        </w:rPr>
      </w:pPr>
      <w:r>
        <w:rPr>
          <w:rFonts w:hint="eastAsia"/>
        </w:rPr>
        <w:tab/>
      </w:r>
      <w:r>
        <w:rPr>
          <w:rFonts w:hint="eastAsia" w:ascii="Times New Roman" w:hAnsi="Times New Roman" w:eastAsia="宋体" w:cs="Times New Roman"/>
          <w:b/>
          <w:kern w:val="2"/>
          <w:sz w:val="32"/>
          <w:szCs w:val="32"/>
        </w:rPr>
        <w:t>河北建工集团有限责任公司设计研究院服务器及相关配置</w:t>
      </w:r>
    </w:p>
    <w:p>
      <w:pPr>
        <w:widowControl w:val="0"/>
        <w:spacing w:after="0" w:line="360" w:lineRule="auto"/>
        <w:jc w:val="center"/>
        <w:rPr>
          <w:rFonts w:ascii="Times New Roman" w:hAnsi="Times New Roman" w:eastAsia="宋体" w:cs="Times New Roman"/>
          <w:b/>
          <w:kern w:val="2"/>
          <w:sz w:val="32"/>
          <w:szCs w:val="32"/>
        </w:rPr>
      </w:pPr>
      <w:r>
        <w:rPr>
          <w:rFonts w:hint="eastAsia" w:ascii="Times New Roman" w:hAnsi="Times New Roman" w:eastAsia="宋体" w:cs="Times New Roman"/>
          <w:b/>
          <w:kern w:val="2"/>
          <w:sz w:val="32"/>
          <w:szCs w:val="32"/>
        </w:rPr>
        <w:t>采购合同</w:t>
      </w:r>
    </w:p>
    <w:p>
      <w:pPr>
        <w:widowControl w:val="0"/>
        <w:spacing w:after="0" w:line="360" w:lineRule="auto"/>
        <w:jc w:val="center"/>
        <w:rPr>
          <w:rFonts w:ascii="Times New Roman" w:hAnsi="Times New Roman" w:eastAsia="宋体" w:cs="Times New Roman"/>
          <w:b/>
          <w:kern w:val="2"/>
          <w:sz w:val="30"/>
          <w:szCs w:val="30"/>
        </w:rPr>
      </w:pPr>
    </w:p>
    <w:p>
      <w:pPr>
        <w:widowControl w:val="0"/>
        <w:spacing w:after="0" w:line="360" w:lineRule="auto"/>
        <w:jc w:val="both"/>
        <w:rPr>
          <w:rFonts w:ascii="Times New Roman" w:hAnsi="Times New Roman" w:eastAsia="宋体" w:cs="Times New Roman"/>
          <w:kern w:val="2"/>
          <w:sz w:val="28"/>
          <w:szCs w:val="28"/>
        </w:rPr>
      </w:pPr>
      <w:r>
        <w:rPr>
          <w:rFonts w:hint="eastAsia" w:ascii="Times New Roman" w:hAnsi="Times New Roman" w:eastAsia="宋体" w:cs="Times New Roman"/>
          <w:kern w:val="2"/>
          <w:sz w:val="28"/>
          <w:szCs w:val="28"/>
        </w:rPr>
        <w:t>甲方（需求方）：</w:t>
      </w:r>
    </w:p>
    <w:p>
      <w:pPr>
        <w:widowControl w:val="0"/>
        <w:spacing w:after="0" w:line="360" w:lineRule="auto"/>
        <w:jc w:val="both"/>
        <w:rPr>
          <w:rFonts w:ascii="Times New Roman" w:hAnsi="Times New Roman" w:eastAsia="宋体" w:cs="Times New Roman"/>
          <w:kern w:val="2"/>
          <w:sz w:val="28"/>
          <w:szCs w:val="28"/>
        </w:rPr>
      </w:pPr>
      <w:r>
        <w:rPr>
          <w:rFonts w:hint="eastAsia" w:ascii="Times New Roman" w:hAnsi="Times New Roman" w:eastAsia="宋体" w:cs="Times New Roman"/>
          <w:kern w:val="2"/>
          <w:sz w:val="28"/>
          <w:szCs w:val="28"/>
        </w:rPr>
        <w:t>乙方（供货方）：</w:t>
      </w:r>
    </w:p>
    <w:p>
      <w:pPr>
        <w:widowControl w:val="0"/>
        <w:spacing w:after="0" w:line="460" w:lineRule="exact"/>
        <w:jc w:val="both"/>
        <w:rPr>
          <w:rFonts w:ascii="Times New Roman" w:hAnsi="Times New Roman" w:eastAsia="宋体" w:cs="Times New Roman"/>
          <w:kern w:val="2"/>
          <w:sz w:val="28"/>
          <w:szCs w:val="28"/>
        </w:rPr>
      </w:pPr>
    </w:p>
    <w:p>
      <w:pPr>
        <w:widowControl w:val="0"/>
        <w:spacing w:after="0" w:line="460" w:lineRule="exact"/>
        <w:ind w:left="1" w:firstLine="840" w:firstLineChars="300"/>
        <w:rPr>
          <w:rFonts w:ascii="Times New Roman" w:hAnsi="Times New Roman" w:eastAsia="宋体" w:cs="Times New Roman"/>
          <w:kern w:val="2"/>
          <w:sz w:val="28"/>
          <w:szCs w:val="28"/>
        </w:rPr>
      </w:pPr>
      <w:r>
        <w:rPr>
          <w:rFonts w:hint="eastAsia" w:ascii="Times New Roman" w:hAnsi="Times New Roman" w:eastAsia="宋体" w:cs="Times New Roman"/>
          <w:kern w:val="2"/>
          <w:sz w:val="28"/>
          <w:szCs w:val="28"/>
        </w:rPr>
        <w:t xml:space="preserve">河北建工集团有限责任公司设计研究院（以下简称“甲方”）与 </w:t>
      </w:r>
      <w:r>
        <w:rPr>
          <w:rFonts w:hint="eastAsia" w:ascii="Times New Roman" w:hAnsi="Times New Roman" w:eastAsia="宋体" w:cs="Times New Roman"/>
          <w:kern w:val="2"/>
          <w:sz w:val="28"/>
          <w:szCs w:val="28"/>
          <w:u w:val="single"/>
        </w:rPr>
        <w:t xml:space="preserve">                    </w:t>
      </w:r>
      <w:r>
        <w:rPr>
          <w:rFonts w:hint="eastAsia" w:ascii="Times New Roman" w:hAnsi="Times New Roman" w:eastAsia="宋体" w:cs="Times New Roman"/>
          <w:kern w:val="2"/>
          <w:sz w:val="28"/>
          <w:szCs w:val="28"/>
        </w:rPr>
        <w:t>（以下简称“乙方”）根据《中华人民共和国合同法》和中国的其它法律、法规之规定，就甲方向乙方定购</w:t>
      </w:r>
      <w:r>
        <w:rPr>
          <w:rFonts w:ascii="Times New Roman" w:hAnsi="Times New Roman" w:eastAsia="宋体" w:cs="Times New Roman"/>
          <w:kern w:val="2"/>
          <w:sz w:val="28"/>
          <w:szCs w:val="28"/>
        </w:rPr>
        <w:t>服务</w:t>
      </w:r>
      <w:r>
        <w:rPr>
          <w:rFonts w:hint="eastAsia" w:ascii="Times New Roman" w:hAnsi="Times New Roman" w:eastAsia="宋体" w:cs="Times New Roman"/>
          <w:kern w:val="2"/>
          <w:sz w:val="28"/>
          <w:szCs w:val="28"/>
        </w:rPr>
        <w:t>器以及相应设备事宜，本着平等互利的原则，经双方友好协商，达成本协议，以兹共同遵守。</w:t>
      </w:r>
    </w:p>
    <w:p>
      <w:pPr>
        <w:widowControl w:val="0"/>
        <w:spacing w:after="0" w:line="460" w:lineRule="exact"/>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定购货物数量及价格（价格单位：元人民币）</w:t>
      </w:r>
    </w:p>
    <w:p>
      <w:pPr>
        <w:widowControl w:val="0"/>
        <w:numPr>
          <w:ilvl w:val="1"/>
          <w:numId w:val="26"/>
        </w:numPr>
        <w:spacing w:after="0" w:line="460" w:lineRule="exact"/>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 xml:space="preserve">货物名称及规格：详见下表                 </w:t>
      </w:r>
    </w:p>
    <w:p>
      <w:pPr>
        <w:widowControl w:val="0"/>
        <w:numPr>
          <w:ilvl w:val="1"/>
          <w:numId w:val="26"/>
        </w:numPr>
        <w:spacing w:after="0" w:line="460" w:lineRule="exact"/>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供货项目： 河北建工集团有限责任公司建筑设计研究院服务器及相关设备采购项目</w:t>
      </w:r>
    </w:p>
    <w:p>
      <w:pPr>
        <w:widowControl w:val="0"/>
        <w:spacing w:after="0" w:line="460" w:lineRule="exact"/>
        <w:ind w:left="480" w:hanging="480" w:hanging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1.3合同金额为 暂定     元，（大写       元），其中不含税价格 元，税金     元，税率    %。具体详细价格见附表。</w:t>
      </w:r>
    </w:p>
    <w:p>
      <w:pPr>
        <w:widowControl w:val="0"/>
        <w:spacing w:after="0" w:line="460" w:lineRule="exact"/>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1.4除非另有说明，任何货物的单价或整项费用均为包干性质，即已包括样板试制、样品、生产、安装、运输、卸车、保险、货物检验试验（调试）、经销、商检、关税、国家及地方税费、企业经营管理费、利润、土建配合费及其他可能发生的所有费用。此合同单价保函本合同明示和隐含的全部工作内容、责任、义务和风险。如在供货、安装期内，发生预期的市场价格涨跌、汇率变动、国家或地方政策改变，单价一律不予调整。</w:t>
      </w:r>
    </w:p>
    <w:tbl>
      <w:tblPr>
        <w:tblStyle w:val="34"/>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4884"/>
        <w:gridCol w:w="1080"/>
        <w:gridCol w:w="69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84" w:type="dxa"/>
            <w:vAlign w:val="center"/>
          </w:tcPr>
          <w:p>
            <w:pPr>
              <w:widowControl w:val="0"/>
              <w:spacing w:after="0" w:line="240" w:lineRule="auto"/>
              <w:jc w:val="center"/>
              <w:rPr>
                <w:rFonts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货物名称</w:t>
            </w:r>
          </w:p>
        </w:tc>
        <w:tc>
          <w:tcPr>
            <w:tcW w:w="4884" w:type="dxa"/>
            <w:vAlign w:val="center"/>
          </w:tcPr>
          <w:p>
            <w:pPr>
              <w:widowControl w:val="0"/>
              <w:spacing w:after="0" w:line="240" w:lineRule="auto"/>
              <w:jc w:val="center"/>
              <w:rPr>
                <w:rFonts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产品型号</w:t>
            </w:r>
          </w:p>
        </w:tc>
        <w:tc>
          <w:tcPr>
            <w:tcW w:w="1080" w:type="dxa"/>
            <w:vAlign w:val="center"/>
          </w:tcPr>
          <w:p>
            <w:pPr>
              <w:widowControl w:val="0"/>
              <w:spacing w:after="0" w:line="240" w:lineRule="auto"/>
              <w:jc w:val="center"/>
              <w:rPr>
                <w:rFonts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单价</w:t>
            </w:r>
          </w:p>
        </w:tc>
        <w:tc>
          <w:tcPr>
            <w:tcW w:w="698" w:type="dxa"/>
            <w:vAlign w:val="center"/>
          </w:tcPr>
          <w:p>
            <w:pPr>
              <w:widowControl w:val="0"/>
              <w:spacing w:after="0" w:line="240" w:lineRule="auto"/>
              <w:jc w:val="center"/>
              <w:rPr>
                <w:rFonts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数量</w:t>
            </w:r>
          </w:p>
        </w:tc>
        <w:tc>
          <w:tcPr>
            <w:tcW w:w="1260" w:type="dxa"/>
            <w:vAlign w:val="center"/>
          </w:tcPr>
          <w:p>
            <w:pPr>
              <w:widowControl w:val="0"/>
              <w:spacing w:after="0" w:line="240" w:lineRule="auto"/>
              <w:jc w:val="center"/>
              <w:rPr>
                <w:rFonts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总价格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84" w:type="dxa"/>
            <w:vAlign w:val="center"/>
          </w:tcPr>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服务器</w:t>
            </w:r>
          </w:p>
        </w:tc>
        <w:tc>
          <w:tcPr>
            <w:tcW w:w="4884" w:type="dxa"/>
            <w:vAlign w:val="center"/>
          </w:tcPr>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p>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p>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p>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p>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84" w:type="dxa"/>
            <w:vAlign w:val="center"/>
          </w:tcPr>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NVIDIA授权</w:t>
            </w:r>
          </w:p>
        </w:tc>
        <w:tc>
          <w:tcPr>
            <w:tcW w:w="4884" w:type="dxa"/>
            <w:vAlign w:val="center"/>
          </w:tcPr>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Quadro vDWS Perpetual License, 1 CCU，永久授权</w:t>
            </w: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84" w:type="dxa"/>
            <w:vAlign w:val="center"/>
          </w:tcPr>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NVIDIA服务</w:t>
            </w:r>
          </w:p>
        </w:tc>
        <w:tc>
          <w:tcPr>
            <w:tcW w:w="4884" w:type="dxa"/>
            <w:vAlign w:val="center"/>
          </w:tcPr>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Quadro vDWS Production SUMS 3 year 1CCU，3年原厂服务（电话、邮件、升级、驱动版本）</w:t>
            </w: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84" w:type="dxa"/>
            <w:vAlign w:val="center"/>
          </w:tcPr>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交换机</w:t>
            </w:r>
          </w:p>
        </w:tc>
        <w:tc>
          <w:tcPr>
            <w:tcW w:w="4884" w:type="dxa"/>
            <w:vAlign w:val="center"/>
          </w:tcPr>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84" w:type="dxa"/>
            <w:vMerge w:val="restart"/>
            <w:vAlign w:val="center"/>
          </w:tcPr>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其他</w:t>
            </w:r>
          </w:p>
        </w:tc>
        <w:tc>
          <w:tcPr>
            <w:tcW w:w="4884" w:type="dxa"/>
            <w:vAlign w:val="center"/>
          </w:tcPr>
          <w:p>
            <w:pPr>
              <w:widowControl w:val="0"/>
              <w:tabs>
                <w:tab w:val="left" w:pos="22"/>
              </w:tabs>
              <w:autoSpaceDE w:val="0"/>
              <w:autoSpaceDN w:val="0"/>
              <w:adjustRightInd w:val="0"/>
              <w:spacing w:after="0" w:line="240" w:lineRule="auto"/>
              <w:ind w:left="20" w:leftChars="10" w:right="18"/>
              <w:jc w:val="both"/>
              <w:rPr>
                <w:rFonts w:ascii="微软雅黑" w:hAnsi="微软雅黑" w:eastAsia="微软雅黑" w:cs="Times New Roman"/>
                <w:kern w:val="2"/>
                <w:sz w:val="21"/>
                <w:szCs w:val="22"/>
              </w:rPr>
            </w:pP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84" w:type="dxa"/>
            <w:vMerge w:val="continue"/>
            <w:vAlign w:val="center"/>
          </w:tcPr>
          <w:p>
            <w:pPr>
              <w:widowControl w:val="0"/>
              <w:spacing w:after="0" w:line="240" w:lineRule="auto"/>
              <w:jc w:val="center"/>
              <w:rPr>
                <w:rFonts w:ascii="宋体" w:hAnsi="宋体" w:eastAsia="宋体" w:cs="Times New Roman"/>
                <w:bCs/>
                <w:color w:val="000000"/>
                <w:kern w:val="2"/>
                <w:sz w:val="21"/>
                <w:szCs w:val="21"/>
              </w:rPr>
            </w:pPr>
          </w:p>
        </w:tc>
        <w:tc>
          <w:tcPr>
            <w:tcW w:w="4884" w:type="dxa"/>
            <w:vAlign w:val="center"/>
          </w:tcPr>
          <w:p>
            <w:pPr>
              <w:widowControl w:val="0"/>
              <w:tabs>
                <w:tab w:val="left" w:pos="22"/>
              </w:tabs>
              <w:autoSpaceDE w:val="0"/>
              <w:autoSpaceDN w:val="0"/>
              <w:adjustRightInd w:val="0"/>
              <w:spacing w:after="0" w:line="240" w:lineRule="auto"/>
              <w:ind w:left="20" w:leftChars="10" w:right="18"/>
              <w:rPr>
                <w:rFonts w:ascii="微软雅黑" w:hAnsi="微软雅黑" w:eastAsia="微软雅黑" w:cs="MT Extra"/>
                <w:kern w:val="2"/>
                <w:sz w:val="21"/>
                <w:szCs w:val="22"/>
              </w:rPr>
            </w:pP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84" w:type="dxa"/>
            <w:vMerge w:val="continue"/>
            <w:vAlign w:val="center"/>
          </w:tcPr>
          <w:p>
            <w:pPr>
              <w:widowControl w:val="0"/>
              <w:spacing w:after="0" w:line="240" w:lineRule="auto"/>
              <w:jc w:val="center"/>
              <w:rPr>
                <w:rFonts w:ascii="宋体" w:hAnsi="宋体" w:eastAsia="宋体" w:cs="Times New Roman"/>
                <w:bCs/>
                <w:color w:val="000000"/>
                <w:kern w:val="2"/>
                <w:sz w:val="21"/>
                <w:szCs w:val="21"/>
              </w:rPr>
            </w:pPr>
          </w:p>
        </w:tc>
        <w:tc>
          <w:tcPr>
            <w:tcW w:w="4884" w:type="dxa"/>
            <w:vAlign w:val="center"/>
          </w:tcPr>
          <w:p>
            <w:pPr>
              <w:widowControl w:val="0"/>
              <w:tabs>
                <w:tab w:val="left" w:pos="22"/>
              </w:tabs>
              <w:autoSpaceDE w:val="0"/>
              <w:autoSpaceDN w:val="0"/>
              <w:adjustRightInd w:val="0"/>
              <w:spacing w:after="0" w:line="240" w:lineRule="auto"/>
              <w:ind w:left="20" w:leftChars="10" w:right="18"/>
              <w:rPr>
                <w:rFonts w:ascii="微软雅黑" w:hAnsi="微软雅黑" w:eastAsia="微软雅黑" w:cs="MT Extra"/>
                <w:kern w:val="2"/>
                <w:sz w:val="21"/>
                <w:szCs w:val="22"/>
              </w:rPr>
            </w:pP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84" w:type="dxa"/>
            <w:vMerge w:val="continue"/>
            <w:vAlign w:val="center"/>
          </w:tcPr>
          <w:p>
            <w:pPr>
              <w:widowControl w:val="0"/>
              <w:spacing w:after="0" w:line="240" w:lineRule="auto"/>
              <w:jc w:val="center"/>
              <w:rPr>
                <w:rFonts w:ascii="宋体" w:hAnsi="宋体" w:eastAsia="宋体" w:cs="Times New Roman"/>
                <w:bCs/>
                <w:color w:val="000000"/>
                <w:kern w:val="2"/>
                <w:sz w:val="21"/>
                <w:szCs w:val="21"/>
              </w:rPr>
            </w:pPr>
          </w:p>
        </w:tc>
        <w:tc>
          <w:tcPr>
            <w:tcW w:w="4884" w:type="dxa"/>
            <w:vAlign w:val="center"/>
          </w:tcPr>
          <w:p>
            <w:pPr>
              <w:widowControl w:val="0"/>
              <w:tabs>
                <w:tab w:val="left" w:pos="22"/>
              </w:tabs>
              <w:autoSpaceDE w:val="0"/>
              <w:autoSpaceDN w:val="0"/>
              <w:adjustRightInd w:val="0"/>
              <w:spacing w:after="0" w:line="240" w:lineRule="auto"/>
              <w:ind w:left="20" w:leftChars="10" w:right="18"/>
              <w:rPr>
                <w:rFonts w:ascii="微软雅黑" w:hAnsi="微软雅黑" w:eastAsia="微软雅黑" w:cs="MT Extra"/>
                <w:kern w:val="2"/>
                <w:sz w:val="21"/>
                <w:szCs w:val="22"/>
              </w:rPr>
            </w:pPr>
          </w:p>
        </w:tc>
        <w:tc>
          <w:tcPr>
            <w:tcW w:w="1080" w:type="dxa"/>
            <w:vAlign w:val="center"/>
          </w:tcPr>
          <w:p>
            <w:pPr>
              <w:widowControl w:val="0"/>
              <w:spacing w:after="0" w:line="240" w:lineRule="auto"/>
              <w:jc w:val="right"/>
              <w:rPr>
                <w:rFonts w:ascii="宋体" w:hAnsi="宋体" w:eastAsia="宋体" w:cs="Times New Roman"/>
                <w:kern w:val="2"/>
                <w:sz w:val="21"/>
                <w:szCs w:val="24"/>
              </w:rPr>
            </w:pPr>
          </w:p>
        </w:tc>
        <w:tc>
          <w:tcPr>
            <w:tcW w:w="698" w:type="dxa"/>
            <w:vAlign w:val="center"/>
          </w:tcPr>
          <w:p>
            <w:pPr>
              <w:widowControl w:val="0"/>
              <w:spacing w:after="0" w:line="240" w:lineRule="auto"/>
              <w:jc w:val="center"/>
              <w:rPr>
                <w:rFonts w:ascii="宋体" w:hAnsi="宋体" w:eastAsia="宋体" w:cs="Times New Roman"/>
                <w:kern w:val="2"/>
                <w:sz w:val="21"/>
                <w:szCs w:val="24"/>
              </w:rPr>
            </w:pP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46" w:type="dxa"/>
            <w:gridSpan w:val="4"/>
            <w:vAlign w:val="center"/>
          </w:tcPr>
          <w:p>
            <w:pPr>
              <w:widowControl w:val="0"/>
              <w:spacing w:after="0" w:line="240" w:lineRule="auto"/>
              <w:jc w:val="center"/>
              <w:rPr>
                <w:rFonts w:ascii="宋体" w:hAnsi="宋体" w:eastAsia="宋体" w:cs="Times New Roman"/>
                <w:b/>
                <w:kern w:val="2"/>
                <w:sz w:val="21"/>
                <w:szCs w:val="24"/>
              </w:rPr>
            </w:pPr>
            <w:r>
              <w:rPr>
                <w:rFonts w:hint="eastAsia" w:ascii="宋体" w:hAnsi="宋体" w:eastAsia="宋体" w:cs="Times New Roman"/>
                <w:b/>
                <w:kern w:val="2"/>
                <w:sz w:val="21"/>
                <w:szCs w:val="24"/>
              </w:rPr>
              <w:t>合计</w:t>
            </w:r>
          </w:p>
        </w:tc>
        <w:tc>
          <w:tcPr>
            <w:tcW w:w="1260" w:type="dxa"/>
            <w:vAlign w:val="center"/>
          </w:tcPr>
          <w:p>
            <w:pPr>
              <w:widowControl w:val="0"/>
              <w:spacing w:after="0" w:line="240" w:lineRule="auto"/>
              <w:jc w:val="right"/>
              <w:rPr>
                <w:rFonts w:ascii="宋体" w:hAnsi="宋体" w:eastAsia="宋体" w:cs="Times New Roman"/>
                <w:kern w:val="2"/>
                <w:sz w:val="21"/>
                <w:szCs w:val="24"/>
              </w:rPr>
            </w:pPr>
          </w:p>
        </w:tc>
      </w:tr>
    </w:tbl>
    <w:p>
      <w:pPr>
        <w:widowControl w:val="0"/>
        <w:spacing w:after="0" w:line="460" w:lineRule="exact"/>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交货日期与交货方式</w:t>
      </w:r>
    </w:p>
    <w:p>
      <w:pPr>
        <w:rPr>
          <w:rFonts w:asciiTheme="minorEastAsia" w:hAnsiTheme="minorEastAsia"/>
          <w:sz w:val="24"/>
        </w:rPr>
      </w:pPr>
      <w:r>
        <w:rPr>
          <w:rFonts w:hint="eastAsia" w:ascii="Times New Roman" w:hAnsi="Times New Roman" w:eastAsia="宋体" w:cs="Times New Roman"/>
          <w:kern w:val="2"/>
          <w:sz w:val="24"/>
          <w:szCs w:val="24"/>
        </w:rPr>
        <w:t>2.1</w:t>
      </w:r>
      <w:r>
        <w:rPr>
          <w:color w:val="000000"/>
          <w:sz w:val="24"/>
        </w:rPr>
        <w:t>自合同签订之日起</w:t>
      </w:r>
      <w:r>
        <w:rPr>
          <w:rFonts w:hint="eastAsia"/>
          <w:color w:val="000000"/>
          <w:sz w:val="24"/>
        </w:rPr>
        <w:t>，15日内货到现场，7日内安装调试完毕，30日内测试完毕</w:t>
      </w:r>
      <w:r>
        <w:rPr>
          <w:rFonts w:hint="eastAsia" w:asciiTheme="minorEastAsia" w:hAnsiTheme="minorEastAsia"/>
          <w:sz w:val="24"/>
        </w:rPr>
        <w:t>。</w:t>
      </w:r>
    </w:p>
    <w:p>
      <w:pPr>
        <w:wordWrap w:val="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2.2乙方须在约定时间内将甲方定购之货物送至甲方指定地点，即</w:t>
      </w:r>
      <w:r>
        <w:rPr>
          <w:rFonts w:hint="eastAsia" w:asciiTheme="minorEastAsia" w:hAnsiTheme="minorEastAsia"/>
          <w:b/>
          <w:sz w:val="24"/>
          <w:u w:val="single"/>
        </w:rPr>
        <w:t>河北建工集团设计研究院12F</w:t>
      </w:r>
      <w:r>
        <w:rPr>
          <w:rFonts w:hint="eastAsia" w:ascii="Times New Roman" w:hAnsi="Times New Roman" w:eastAsia="宋体" w:cs="Times New Roman"/>
          <w:kern w:val="2"/>
          <w:sz w:val="24"/>
          <w:szCs w:val="24"/>
        </w:rPr>
        <w:t>，并指派技术人员现场协同进行部署，安装和调试，交货日期以甲方签收为准；</w:t>
      </w:r>
    </w:p>
    <w:p>
      <w:pPr>
        <w:widowControl w:val="0"/>
        <w:numPr>
          <w:ilvl w:val="0"/>
          <w:numId w:val="27"/>
        </w:numPr>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双方的任何一方如需提前或延期交货与提货，均应事先通知对方，经双方确认并达成书面协议后按协议执行。</w:t>
      </w:r>
    </w:p>
    <w:p>
      <w:pPr>
        <w:widowControl w:val="0"/>
        <w:spacing w:after="0" w:line="460" w:lineRule="exact"/>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验收和服务标准</w:t>
      </w:r>
    </w:p>
    <w:p>
      <w:pPr>
        <w:widowControl w:val="0"/>
        <w:numPr>
          <w:ilvl w:val="0"/>
          <w:numId w:val="28"/>
        </w:numPr>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验收标准：产品质量符合国家相关技术标准，有出厂合格证。且交货后调试完毕经测试</w:t>
      </w:r>
      <w:r>
        <w:rPr>
          <w:rFonts w:hint="eastAsia" w:ascii="Times New Roman" w:hAnsi="Times New Roman" w:eastAsia="宋体" w:cs="Times New Roman"/>
          <w:kern w:val="2"/>
          <w:sz w:val="24"/>
          <w:szCs w:val="24"/>
          <w:u w:val="single"/>
        </w:rPr>
        <w:t>30</w:t>
      </w:r>
      <w:r>
        <w:rPr>
          <w:rFonts w:hint="eastAsia" w:ascii="Times New Roman" w:hAnsi="Times New Roman" w:eastAsia="宋体" w:cs="Times New Roman"/>
          <w:kern w:val="2"/>
          <w:sz w:val="24"/>
          <w:szCs w:val="24"/>
        </w:rPr>
        <w:t>个工作日内无任何质量问题，视为验收合格。</w:t>
      </w:r>
    </w:p>
    <w:p>
      <w:pPr>
        <w:widowControl w:val="0"/>
        <w:numPr>
          <w:ilvl w:val="0"/>
          <w:numId w:val="28"/>
        </w:numPr>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如果验收合格前出现质量问题，乙方应无条件更换或退货。在该期限内，乙方在接到甲方提出的书面异议后，应在</w:t>
      </w:r>
      <w:r>
        <w:rPr>
          <w:rFonts w:hint="eastAsia" w:ascii="Times New Roman" w:hAnsi="Times New Roman" w:eastAsia="宋体" w:cs="Times New Roman"/>
          <w:kern w:val="2"/>
          <w:sz w:val="24"/>
          <w:szCs w:val="24"/>
          <w:u w:val="single"/>
        </w:rPr>
        <w:t>5</w:t>
      </w:r>
      <w:r>
        <w:rPr>
          <w:rFonts w:hint="eastAsia" w:ascii="Times New Roman" w:hAnsi="Times New Roman" w:eastAsia="宋体" w:cs="Times New Roman"/>
          <w:kern w:val="2"/>
          <w:sz w:val="24"/>
          <w:szCs w:val="24"/>
        </w:rPr>
        <w:t>个工作日内做出更换或退货处理。</w:t>
      </w:r>
    </w:p>
    <w:p>
      <w:pPr>
        <w:widowControl w:val="0"/>
        <w:numPr>
          <w:ilvl w:val="0"/>
          <w:numId w:val="28"/>
        </w:numPr>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服务标准：</w:t>
      </w:r>
      <w:r>
        <w:rPr>
          <w:rFonts w:hint="eastAsia" w:ascii="Times New Roman" w:hAnsi="Times New Roman" w:eastAsia="宋体" w:cs="Times New Roman"/>
          <w:b/>
          <w:kern w:val="2"/>
          <w:sz w:val="24"/>
          <w:szCs w:val="24"/>
        </w:rPr>
        <w:t xml:space="preserve">  服务器安装完成后，应满足以下服务要求   </w:t>
      </w:r>
      <w:r>
        <w:rPr>
          <w:rFonts w:hint="eastAsia" w:ascii="Times New Roman" w:hAnsi="Times New Roman" w:eastAsia="宋体" w:cs="Times New Roman"/>
          <w:kern w:val="2"/>
          <w:sz w:val="24"/>
          <w:szCs w:val="24"/>
          <w:u w:val="single"/>
        </w:rPr>
        <w:t xml:space="preserve">                                             </w:t>
      </w:r>
    </w:p>
    <w:tbl>
      <w:tblPr>
        <w:tblStyle w:val="3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spacing w:after="0" w:line="240" w:lineRule="auto"/>
              <w:jc w:val="both"/>
              <w:rPr>
                <w:rFonts w:ascii="微软雅黑" w:hAnsi="微软雅黑" w:eastAsia="微软雅黑" w:cs="Times New Roman"/>
                <w:b/>
                <w:kern w:val="2"/>
                <w:sz w:val="21"/>
                <w:szCs w:val="22"/>
              </w:rPr>
            </w:pPr>
            <w:r>
              <w:rPr>
                <w:rFonts w:hint="eastAsia" w:ascii="微软雅黑" w:hAnsi="微软雅黑" w:eastAsia="微软雅黑" w:cs="Times New Roman"/>
                <w:b/>
                <w:kern w:val="2"/>
                <w:sz w:val="21"/>
                <w:szCs w:val="22"/>
              </w:rPr>
              <w:t>用户体验</w:t>
            </w:r>
          </w:p>
        </w:tc>
        <w:tc>
          <w:tcPr>
            <w:tcW w:w="7132" w:type="dxa"/>
          </w:tcPr>
          <w:p>
            <w:pPr>
              <w:widowControl w:val="0"/>
              <w:spacing w:after="0" w:line="240" w:lineRule="auto"/>
              <w:jc w:val="both"/>
              <w:rPr>
                <w:rFonts w:ascii="微软雅黑" w:hAnsi="微软雅黑" w:eastAsia="微软雅黑" w:cs="MT Extra"/>
                <w:kern w:val="2"/>
                <w:sz w:val="21"/>
                <w:szCs w:val="22"/>
              </w:rPr>
            </w:pPr>
            <w:r>
              <w:rPr>
                <w:rFonts w:hint="eastAsia" w:ascii="微软雅黑" w:hAnsi="微软雅黑" w:eastAsia="微软雅黑" w:cs="Times New Roman"/>
                <w:kern w:val="2"/>
                <w:sz w:val="21"/>
                <w:szCs w:val="22"/>
              </w:rPr>
              <w:t>★本项目要求提供不低于</w:t>
            </w:r>
            <w:r>
              <w:rPr>
                <w:rFonts w:hint="eastAsia" w:ascii="微软雅黑" w:hAnsi="微软雅黑" w:eastAsia="微软雅黑" w:cs="Times New Roman"/>
                <w:kern w:val="2"/>
                <w:sz w:val="21"/>
                <w:szCs w:val="22"/>
                <w:lang w:val="en-US" w:eastAsia="zh-CN"/>
              </w:rPr>
              <w:t>100</w:t>
            </w:r>
            <w:r>
              <w:rPr>
                <w:rFonts w:hint="eastAsia" w:ascii="微软雅黑" w:hAnsi="微软雅黑" w:eastAsia="微软雅黑" w:cs="Times New Roman"/>
                <w:kern w:val="2"/>
                <w:sz w:val="21"/>
                <w:szCs w:val="22"/>
              </w:rPr>
              <w:t>个用户并发授权。</w:t>
            </w:r>
          </w:p>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cs="Times New Roman"/>
                <w:kern w:val="2"/>
                <w:sz w:val="21"/>
                <w:szCs w:val="22"/>
              </w:rPr>
              <w:t>支持云盘存储方案，包括个人云盘和公共云盘，可设置配额和读写权限，其中个人云盘绑定用户，只允许特定用户访问，公共云盘允许所有人访问。</w:t>
            </w:r>
          </w:p>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cs="Times New Roman"/>
                <w:kern w:val="2"/>
                <w:sz w:val="21"/>
                <w:szCs w:val="22"/>
              </w:rPr>
              <w:t>云平台用户能够访问终端上的本地硬盘、光驱、U盘、移动硬盘，并且访问权限要求可控。</w:t>
            </w:r>
          </w:p>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MT Extra"/>
                <w:kern w:val="2"/>
                <w:sz w:val="21"/>
                <w:szCs w:val="22"/>
              </w:rPr>
              <w:t>★</w:t>
            </w:r>
            <w:r>
              <w:rPr>
                <w:rFonts w:hint="eastAsia" w:ascii="微软雅黑" w:hAnsi="微软雅黑" w:eastAsia="微软雅黑" w:cs="Times New Roman"/>
                <w:kern w:val="2"/>
                <w:sz w:val="21"/>
                <w:szCs w:val="22"/>
              </w:rPr>
              <w:t>支持显示虚拟机开关机画面；支持分辨率自适应和更改分辨率，操作时要求与PC一样，即在桌面右键点击“个性化分辨率”进行设置。</w:t>
            </w:r>
          </w:p>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★支持远程协助功能，管理员在云桌面控制台中可以直接向需要协助的用户发起远程协助，无需安装任何辅助软件。</w:t>
            </w:r>
          </w:p>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★使用人员可以自定义安装各类BIM及办公软件工具。</w:t>
            </w:r>
          </w:p>
          <w:p>
            <w:pPr>
              <w:widowControl w:val="0"/>
              <w:spacing w:after="0" w:line="240" w:lineRule="auto"/>
              <w:jc w:val="both"/>
              <w:rPr>
                <w:rFonts w:ascii="微软雅黑" w:hAnsi="微软雅黑" w:eastAsia="微软雅黑" w:cs="Times New Roman"/>
                <w:kern w:val="2"/>
                <w:sz w:val="21"/>
                <w:szCs w:val="22"/>
              </w:rPr>
            </w:pPr>
            <w:r>
              <w:rPr>
                <w:rFonts w:hint="eastAsia" w:ascii="微软雅黑" w:hAnsi="微软雅黑" w:eastAsia="微软雅黑" w:cs="Times New Roman"/>
                <w:kern w:val="2"/>
                <w:sz w:val="21"/>
                <w:szCs w:val="22"/>
              </w:rPr>
              <w:t>★虚拟桌面系统支持目前常用的 win7、win8、win10等主流系统。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微软雅黑" w:hAnsi="微软雅黑" w:eastAsia="微软雅黑" w:cs="Times New Roman"/>
                <w:b/>
                <w:kern w:val="2"/>
                <w:sz w:val="21"/>
                <w:szCs w:val="22"/>
              </w:rPr>
            </w:pPr>
            <w:r>
              <w:rPr>
                <w:rFonts w:hint="eastAsia" w:ascii="微软雅黑" w:hAnsi="微软雅黑" w:eastAsia="微软雅黑" w:cs="Times New Roman"/>
                <w:b/>
                <w:kern w:val="2"/>
                <w:sz w:val="21"/>
                <w:szCs w:val="22"/>
              </w:rPr>
              <w:t>安全管理</w:t>
            </w:r>
          </w:p>
        </w:tc>
        <w:tc>
          <w:tcPr>
            <w:tcW w:w="7132"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微软雅黑" w:hAnsi="微软雅黑" w:eastAsia="微软雅黑" w:cs="MT Extra"/>
                <w:kern w:val="2"/>
                <w:sz w:val="21"/>
                <w:szCs w:val="22"/>
              </w:rPr>
            </w:pPr>
            <w:r>
              <w:rPr>
                <w:rFonts w:hint="eastAsia" w:ascii="微软雅黑" w:hAnsi="微软雅黑" w:eastAsia="微软雅黑" w:cs="MT Extra"/>
                <w:kern w:val="2"/>
                <w:sz w:val="21"/>
                <w:szCs w:val="22"/>
              </w:rPr>
              <w:t>★支持应用黑白名单技术，实现全方位云桌面管控，在黑名单中可以通过配置规则禁止指定应用或进程在云桌面中运行；在白名单中通过配置规则只允许规则中的应用或进程在云桌面中运行</w:t>
            </w:r>
            <w:r>
              <w:rPr>
                <w:rFonts w:ascii="微软雅黑" w:hAnsi="微软雅黑" w:eastAsia="微软雅黑" w:cs="MT Extra"/>
                <w:kern w:val="2"/>
                <w:sz w:val="21"/>
                <w:szCs w:val="22"/>
              </w:rPr>
              <w:t>。</w:t>
            </w:r>
          </w:p>
          <w:p>
            <w:pPr>
              <w:widowControl w:val="0"/>
              <w:spacing w:after="0" w:line="240" w:lineRule="auto"/>
              <w:jc w:val="both"/>
              <w:rPr>
                <w:rFonts w:ascii="微软雅黑" w:hAnsi="微软雅黑" w:eastAsia="微软雅黑" w:cs="MT Extra"/>
                <w:kern w:val="2"/>
                <w:sz w:val="21"/>
                <w:szCs w:val="22"/>
              </w:rPr>
            </w:pPr>
            <w:r>
              <w:rPr>
                <w:rFonts w:hint="eastAsia" w:ascii="微软雅黑" w:hAnsi="微软雅黑" w:eastAsia="微软雅黑" w:cs="MT Extra"/>
                <w:kern w:val="2"/>
                <w:sz w:val="21"/>
                <w:szCs w:val="22"/>
              </w:rPr>
              <w:t>★桌面云控制器内置防火墙，包括设置过滤规则、NAT设置、访问监控、防DOS攻击、QOS上传下载规则等。</w:t>
            </w:r>
          </w:p>
          <w:p>
            <w:pPr>
              <w:widowControl w:val="0"/>
              <w:spacing w:after="0" w:line="240" w:lineRule="auto"/>
              <w:jc w:val="both"/>
              <w:rPr>
                <w:rFonts w:ascii="微软雅黑" w:hAnsi="微软雅黑" w:eastAsia="微软雅黑" w:cs="MT Extra"/>
                <w:kern w:val="2"/>
                <w:sz w:val="21"/>
                <w:szCs w:val="22"/>
              </w:rPr>
            </w:pPr>
            <w:r>
              <w:rPr>
                <w:rFonts w:hint="eastAsia" w:ascii="微软雅黑" w:hAnsi="微软雅黑" w:eastAsia="微软雅黑" w:cs="MT Extra"/>
                <w:kern w:val="2"/>
                <w:sz w:val="21"/>
                <w:szCs w:val="22"/>
              </w:rPr>
              <w:t>支持临时权限，管理员为部分用户临时在某个时间段内放通</w:t>
            </w:r>
            <w:r>
              <w:rPr>
                <w:rFonts w:ascii="微软雅黑" w:hAnsi="微软雅黑" w:eastAsia="微软雅黑" w:cs="MT Extra"/>
                <w:kern w:val="2"/>
                <w:sz w:val="21"/>
                <w:szCs w:val="22"/>
              </w:rPr>
              <w:t>usb</w:t>
            </w:r>
            <w:r>
              <w:rPr>
                <w:rFonts w:hint="eastAsia" w:ascii="微软雅黑" w:hAnsi="微软雅黑" w:eastAsia="微软雅黑" w:cs="MT Extra"/>
                <w:kern w:val="2"/>
                <w:sz w:val="21"/>
                <w:szCs w:val="22"/>
              </w:rPr>
              <w:t>和pc剪切板等权限，并在到期后自动回收该权限，保证数据安全。</w:t>
            </w:r>
          </w:p>
        </w:tc>
      </w:tr>
    </w:tbl>
    <w:p>
      <w:pPr>
        <w:widowControl w:val="0"/>
        <w:spacing w:after="0" w:line="460" w:lineRule="exact"/>
        <w:ind w:left="425"/>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结算方式及期限</w:t>
      </w:r>
    </w:p>
    <w:p>
      <w:pPr>
        <w:widowControl w:val="0"/>
        <w:spacing w:after="0" w:line="460" w:lineRule="exact"/>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货到现场，验收合格甲方支付合同总价款的</w:t>
      </w:r>
      <w:r>
        <w:rPr>
          <w:rFonts w:hint="eastAsia" w:ascii="Times New Roman" w:hAnsi="Times New Roman" w:eastAsia="宋体" w:cs="Times New Roman"/>
          <w:kern w:val="2"/>
          <w:sz w:val="24"/>
          <w:szCs w:val="24"/>
          <w:u w:val="single"/>
        </w:rPr>
        <w:t xml:space="preserve">  60  ％</w:t>
      </w:r>
      <w:r>
        <w:rPr>
          <w:rFonts w:hint="eastAsia" w:ascii="Times New Roman" w:hAnsi="Times New Roman" w:eastAsia="宋体" w:cs="Times New Roman"/>
          <w:kern w:val="2"/>
          <w:sz w:val="24"/>
          <w:szCs w:val="24"/>
        </w:rPr>
        <w:t>；安装调试合格后甲方支付</w:t>
      </w:r>
      <w:r>
        <w:rPr>
          <w:rFonts w:hint="eastAsia"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rPr>
        <w:t>合同总价款的</w:t>
      </w:r>
      <w:r>
        <w:rPr>
          <w:rFonts w:hint="eastAsia" w:ascii="Times New Roman" w:hAnsi="Times New Roman" w:eastAsia="宋体" w:cs="Times New Roman"/>
          <w:kern w:val="2"/>
          <w:sz w:val="24"/>
          <w:szCs w:val="24"/>
          <w:u w:val="single"/>
        </w:rPr>
        <w:t>30 %</w:t>
      </w:r>
      <w:r>
        <w:rPr>
          <w:rFonts w:hint="eastAsia" w:ascii="Times New Roman" w:hAnsi="Times New Roman" w:eastAsia="宋体" w:cs="Times New Roman"/>
          <w:kern w:val="2"/>
          <w:sz w:val="24"/>
          <w:szCs w:val="24"/>
        </w:rPr>
        <w:t>；测试完成无质量问题甲方支付合同总价款的10%。如遇春节期间等特殊情况，付款时间顺期后延。</w:t>
      </w:r>
    </w:p>
    <w:p>
      <w:pPr>
        <w:widowControl w:val="0"/>
        <w:spacing w:after="0" w:line="460" w:lineRule="exact"/>
        <w:ind w:firstLine="480" w:firstLineChars="200"/>
        <w:jc w:val="both"/>
        <w:rPr>
          <w:rFonts w:ascii="Times New Roman" w:hAnsi="Times New Roman" w:eastAsia="宋体" w:cs="Times New Roman"/>
          <w:kern w:val="2"/>
          <w:sz w:val="24"/>
          <w:szCs w:val="24"/>
          <w:highlight w:val="yellow"/>
        </w:rPr>
      </w:pPr>
      <w:r>
        <w:rPr>
          <w:rFonts w:hint="eastAsia" w:ascii="Times New Roman" w:hAnsi="Times New Roman" w:eastAsia="宋体" w:cs="Times New Roman"/>
          <w:kern w:val="2"/>
          <w:sz w:val="24"/>
          <w:szCs w:val="24"/>
        </w:rPr>
        <w:t>甲方每次付款前，乙方必须提供等额合法有效的 增值税专用发票以及河北建工财务部门所要求的收据、入库单等手续。以及提供满足工程竣工验收合格所需的相关资料。否则，甲方在乙方未提供上述资料前有权拒绝支付任何款项且不承担任何责任，且上述乙方义务不因甲方违约而免除。乙方开具的票据必须是由乙方从其发票主管税务机关购领或经其主管税务机关批准自印或监制的发票;乙方必须保证提供给甲方的发票的票面数据与乙方缴销税务机关和乙方所留存的发票存根联填列数据相符;因乙方提供的发票不符合税务部门的要求，导致甲方从乙方取得的增值税专用发票不能报验抵扣进项税金，或虽可通过报验但报验后被税务机关以“比对不符”或“失控发票”等事由追缴税款，而给甲方造成的经济损失，由乙方负责赔偿。</w:t>
      </w:r>
    </w:p>
    <w:p>
      <w:pPr>
        <w:widowControl w:val="0"/>
        <w:spacing w:after="0" w:line="460" w:lineRule="exact"/>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附公司账户：</w:t>
      </w:r>
    </w:p>
    <w:p>
      <w:pPr>
        <w:widowControl w:val="0"/>
        <w:spacing w:after="0" w:line="460" w:lineRule="exact"/>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公司名称：</w:t>
      </w:r>
    </w:p>
    <w:p>
      <w:pPr>
        <w:widowControl w:val="0"/>
        <w:spacing w:after="0" w:line="460" w:lineRule="exact"/>
        <w:ind w:firstLine="480" w:firstLineChars="200"/>
        <w:jc w:val="both"/>
        <w:rPr>
          <w:rFonts w:ascii="Times New Roman" w:hAnsi="Times New Roman" w:eastAsia="宋体" w:cs="Times New Roman"/>
          <w:kern w:val="2"/>
          <w:sz w:val="24"/>
          <w:szCs w:val="24"/>
        </w:rPr>
      </w:pPr>
      <w:r>
        <w:rPr>
          <w:rFonts w:hint="eastAsia" w:ascii="宋体" w:hAnsi="Times New Roman" w:eastAsia="宋体" w:cs="宋体"/>
          <w:color w:val="000000"/>
          <w:sz w:val="24"/>
          <w:szCs w:val="24"/>
          <w:lang w:val="zh-CN"/>
        </w:rPr>
        <w:t>帐    号：</w:t>
      </w:r>
    </w:p>
    <w:p>
      <w:pPr>
        <w:widowControl w:val="0"/>
        <w:spacing w:after="0" w:line="460" w:lineRule="exact"/>
        <w:ind w:firstLine="480" w:firstLineChars="200"/>
        <w:jc w:val="both"/>
        <w:rPr>
          <w:rFonts w:ascii="宋体" w:hAnsi="Times New Roman" w:eastAsia="宋体" w:cs="宋体"/>
          <w:color w:val="000000"/>
          <w:sz w:val="24"/>
          <w:szCs w:val="24"/>
          <w:lang w:val="zh-CN"/>
        </w:rPr>
      </w:pPr>
      <w:r>
        <w:rPr>
          <w:rFonts w:hint="eastAsia" w:ascii="宋体" w:hAnsi="Times New Roman" w:eastAsia="宋体" w:cs="宋体"/>
          <w:color w:val="000000"/>
          <w:sz w:val="24"/>
          <w:szCs w:val="24"/>
          <w:lang w:val="zh-CN"/>
        </w:rPr>
        <w:t>开户银行：</w:t>
      </w: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产品故障处理</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5.1本产品质保期三年。乙方交货时应向甲方提供齐备的货物的产品说明书、合格证、保修单，并在交货时向甲方解释相关的保修条款。</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5.2在相关保修期内的货物若出现质量问题，若属乙方责任的，乙方应负责修复或更换。</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5.3乙方向甲方提供之货物在使用过程中出现质量问题以外的故障，乙方应积极协助甲方解决。</w:t>
      </w:r>
    </w:p>
    <w:p>
      <w:pPr>
        <w:widowControl w:val="0"/>
        <w:spacing w:after="0" w:line="460" w:lineRule="exact"/>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违约责任</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6.1因缔约一方违反本协议而给另一方造成损失的，违反一方应向对方赔偿损失。如属双方过失，由双方分别承担各自应负的违约责任。</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6.2若甲方未按期付款，按每日总货款的0.5‰计算违约金，从应付款日计算至实际付款日。最高罚金不超过总货款的百分之五。</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6.3若乙方未按期供货，每迟延一日，按总货款的0.5‰计算违约金。最高罚金不超过总货款的百分之五。</w:t>
      </w:r>
    </w:p>
    <w:p>
      <w:pPr>
        <w:widowControl w:val="0"/>
        <w:spacing w:after="0" w:line="460" w:lineRule="exact"/>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不可抗力</w:t>
      </w:r>
    </w:p>
    <w:p>
      <w:pPr>
        <w:widowControl w:val="0"/>
        <w:spacing w:after="0" w:line="460" w:lineRule="exact"/>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甲、乙双方的任何一方由于不可抗力的原因不能履行或不能完全履行本协议时，应尽快向对方通报理由，经有关主管机关证明后，对方可允许延期履行、部分履行或不履行，并可根据情况部分或全部免予承担违约责任。</w:t>
      </w:r>
    </w:p>
    <w:p>
      <w:pPr>
        <w:widowControl w:val="0"/>
        <w:spacing w:after="0" w:line="460" w:lineRule="exact"/>
        <w:ind w:firstLine="480" w:firstLineChars="200"/>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争议解决</w:t>
      </w:r>
    </w:p>
    <w:p>
      <w:pPr>
        <w:widowControl w:val="0"/>
        <w:spacing w:after="0" w:line="460" w:lineRule="exact"/>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 xml:space="preserve">如双方发生争议，可协商解决。如协商不成，可将争议交由 </w:t>
      </w:r>
      <w:r>
        <w:rPr>
          <w:rFonts w:hint="eastAsia" w:ascii="Times New Roman" w:hAnsi="Times New Roman" w:eastAsia="宋体" w:cs="Times New Roman"/>
          <w:kern w:val="2"/>
          <w:sz w:val="24"/>
          <w:szCs w:val="24"/>
          <w:u w:val="single"/>
        </w:rPr>
        <w:t xml:space="preserve">             </w:t>
      </w:r>
      <w:r>
        <w:rPr>
          <w:rFonts w:hint="eastAsia" w:ascii="Times New Roman" w:hAnsi="Times New Roman" w:eastAsia="宋体" w:cs="Times New Roman"/>
          <w:kern w:val="2"/>
          <w:sz w:val="24"/>
          <w:szCs w:val="24"/>
        </w:rPr>
        <w:t>仲裁。</w:t>
      </w:r>
    </w:p>
    <w:p>
      <w:pPr>
        <w:widowControl w:val="0"/>
        <w:spacing w:after="0" w:line="460" w:lineRule="exact"/>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协议的变更与解除</w:t>
      </w:r>
    </w:p>
    <w:p>
      <w:pPr>
        <w:widowControl w:val="0"/>
        <w:spacing w:after="0" w:line="460" w:lineRule="exact"/>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甲乙双方的任何一方要求变更或解除本协议时，应及时通知对方，并采用书面形式由双方达成协议。未达成协议以前，原协议仍然有效。当事人一方接到另一方要求变更或解除协议的建议后，应在收到通知之日起5个日历日内做出答复，当事人双方另有约定的，按约定的期限答复，逾期不做答复的，即视为</w:t>
      </w:r>
      <w:r>
        <w:rPr>
          <w:rFonts w:hint="eastAsia" w:ascii="宋体" w:hAnsi="宋体" w:eastAsia="宋体" w:cs="Times New Roman"/>
          <w:kern w:val="2"/>
          <w:sz w:val="24"/>
          <w:szCs w:val="24"/>
        </w:rPr>
        <w:t>拒绝</w:t>
      </w:r>
      <w:r>
        <w:rPr>
          <w:rFonts w:hint="eastAsia" w:ascii="Times New Roman" w:hAnsi="Times New Roman" w:eastAsia="宋体" w:cs="Times New Roman"/>
          <w:kern w:val="2"/>
          <w:sz w:val="24"/>
          <w:szCs w:val="24"/>
        </w:rPr>
        <w:t>对方建议。</w:t>
      </w:r>
    </w:p>
    <w:p>
      <w:pPr>
        <w:widowControl w:val="0"/>
        <w:spacing w:after="0" w:line="460" w:lineRule="exact"/>
        <w:jc w:val="both"/>
        <w:rPr>
          <w:rFonts w:ascii="Times New Roman" w:hAnsi="Times New Roman" w:eastAsia="宋体" w:cs="Times New Roman"/>
          <w:kern w:val="2"/>
          <w:sz w:val="24"/>
          <w:szCs w:val="24"/>
        </w:rPr>
      </w:pPr>
    </w:p>
    <w:p>
      <w:pPr>
        <w:widowControl w:val="0"/>
        <w:numPr>
          <w:ilvl w:val="0"/>
          <w:numId w:val="25"/>
        </w:numPr>
        <w:spacing w:after="0" w:line="460" w:lineRule="exact"/>
        <w:jc w:val="both"/>
        <w:rPr>
          <w:rFonts w:ascii="Times New Roman" w:hAnsi="Times New Roman" w:eastAsia="宋体" w:cs="Times New Roman"/>
          <w:b/>
          <w:kern w:val="2"/>
          <w:sz w:val="28"/>
          <w:szCs w:val="28"/>
        </w:rPr>
      </w:pPr>
      <w:r>
        <w:rPr>
          <w:rFonts w:hint="eastAsia" w:ascii="Times New Roman" w:hAnsi="Times New Roman" w:eastAsia="宋体" w:cs="Times New Roman"/>
          <w:b/>
          <w:kern w:val="2"/>
          <w:sz w:val="28"/>
          <w:szCs w:val="28"/>
        </w:rPr>
        <w:t>其他事项</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10..本协议未尽事宜须经双方友好协商，并签订书面补充协议，该补充协议为本协议不可分割一部分，与本协议具有同等法律效力。</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10.2本协议经双方确认签署后生效。</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10.3本协议一式伍份，甲方执叁份，乙方执贰，均具有同等法律效力。</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 xml:space="preserve">10.4乙方负责履行该合同的代表人：    </w:t>
      </w:r>
    </w:p>
    <w:p>
      <w:pPr>
        <w:widowControl w:val="0"/>
        <w:spacing w:after="0" w:line="460" w:lineRule="exact"/>
        <w:ind w:left="420"/>
        <w:jc w:val="both"/>
        <w:rPr>
          <w:rFonts w:ascii="楷体_GB2312" w:hAnsi="宋体" w:eastAsia="楷体_GB2312" w:cs="Times New Roman"/>
          <w:kern w:val="2"/>
          <w:sz w:val="28"/>
          <w:szCs w:val="28"/>
        </w:rPr>
      </w:pPr>
      <w:r>
        <w:rPr>
          <w:rFonts w:hint="eastAsia" w:ascii="Times New Roman" w:hAnsi="Times New Roman" w:eastAsia="宋体" w:cs="Times New Roman"/>
          <w:kern w:val="2"/>
          <w:sz w:val="24"/>
          <w:szCs w:val="24"/>
        </w:rPr>
        <w:t>联系方式：</w:t>
      </w:r>
      <w:r>
        <w:rPr>
          <w:rFonts w:hint="eastAsia" w:ascii="楷体_GB2312" w:hAnsi="宋体" w:eastAsia="楷体_GB2312" w:cs="Times New Roman"/>
          <w:kern w:val="2"/>
          <w:sz w:val="28"/>
          <w:szCs w:val="28"/>
        </w:rPr>
        <w:t xml:space="preserve">   </w:t>
      </w:r>
    </w:p>
    <w:p>
      <w:pPr>
        <w:widowControl w:val="0"/>
        <w:spacing w:after="0" w:line="460" w:lineRule="exact"/>
        <w:ind w:left="420"/>
        <w:jc w:val="both"/>
        <w:rPr>
          <w:rFonts w:ascii="楷体_GB2312" w:hAnsi="宋体" w:eastAsia="楷体_GB2312" w:cs="Times New Roman"/>
          <w:kern w:val="2"/>
          <w:sz w:val="28"/>
          <w:szCs w:val="28"/>
        </w:rPr>
      </w:pPr>
    </w:p>
    <w:p>
      <w:pPr>
        <w:widowControl w:val="0"/>
        <w:spacing w:after="0" w:line="460" w:lineRule="exact"/>
        <w:ind w:left="420"/>
        <w:jc w:val="both"/>
        <w:rPr>
          <w:rFonts w:ascii="Times New Roman" w:hAnsi="Times New Roman" w:eastAsia="宋体" w:cs="Times New Roman"/>
          <w:kern w:val="2"/>
          <w:sz w:val="24"/>
          <w:szCs w:val="24"/>
        </w:rPr>
      </w:pPr>
      <w:r>
        <w:rPr>
          <w:rFonts w:hint="eastAsia" w:ascii="Times New Roman" w:hAnsi="Times New Roman" w:eastAsia="楷体_GB2312" w:cs="Times New Roman"/>
          <w:kern w:val="2"/>
          <w:sz w:val="24"/>
          <w:szCs w:val="24"/>
        </w:rPr>
        <w:t>甲</w:t>
      </w:r>
      <w:r>
        <w:rPr>
          <w:rFonts w:hint="eastAsia" w:ascii="Times New Roman" w:hAnsi="Times New Roman" w:eastAsia="宋体" w:cs="Times New Roman"/>
          <w:kern w:val="2"/>
          <w:sz w:val="24"/>
          <w:szCs w:val="24"/>
        </w:rPr>
        <w:t xml:space="preserve">方负责履行该合同的代表人：    </w:t>
      </w:r>
    </w:p>
    <w:p>
      <w:pPr>
        <w:widowControl w:val="0"/>
        <w:spacing w:after="0" w:line="460" w:lineRule="exact"/>
        <w:ind w:left="420"/>
        <w:jc w:val="both"/>
        <w:rPr>
          <w:rFonts w:ascii="楷体_GB2312" w:hAnsi="宋体" w:eastAsia="楷体_GB2312" w:cs="Times New Roman"/>
          <w:kern w:val="2"/>
          <w:sz w:val="28"/>
          <w:szCs w:val="28"/>
        </w:rPr>
      </w:pPr>
      <w:r>
        <w:rPr>
          <w:rFonts w:hint="eastAsia" w:ascii="Times New Roman" w:hAnsi="Times New Roman" w:eastAsia="宋体" w:cs="Times New Roman"/>
          <w:kern w:val="2"/>
          <w:sz w:val="24"/>
          <w:szCs w:val="24"/>
        </w:rPr>
        <w:t>联系方式：</w:t>
      </w:r>
    </w:p>
    <w:p>
      <w:pPr>
        <w:widowControl w:val="0"/>
        <w:spacing w:after="0" w:line="460" w:lineRule="exact"/>
        <w:jc w:val="both"/>
        <w:rPr>
          <w:rFonts w:ascii="Times New Roman" w:hAnsi="Times New Roman" w:eastAsia="宋体" w:cs="Times New Roman"/>
          <w:kern w:val="2"/>
          <w:sz w:val="24"/>
          <w:szCs w:val="24"/>
        </w:rPr>
      </w:pPr>
      <w:r>
        <w:rPr>
          <w:rFonts w:hint="eastAsia" w:ascii="楷体_GB2312" w:hAnsi="宋体" w:eastAsia="楷体_GB2312" w:cs="Times New Roman"/>
          <w:kern w:val="2"/>
          <w:sz w:val="28"/>
          <w:szCs w:val="28"/>
        </w:rPr>
        <w:t xml:space="preserve">      </w:t>
      </w:r>
    </w:p>
    <w:p>
      <w:pPr>
        <w:widowControl w:val="0"/>
        <w:spacing w:after="0" w:line="460" w:lineRule="exact"/>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（以下无正文）</w:t>
      </w:r>
    </w:p>
    <w:p>
      <w:pPr>
        <w:widowControl w:val="0"/>
        <w:spacing w:after="0" w:line="460" w:lineRule="exact"/>
        <w:jc w:val="both"/>
        <w:rPr>
          <w:rFonts w:ascii="Times New Roman" w:hAnsi="Times New Roman" w:eastAsia="宋体" w:cs="Times New Roman"/>
          <w:kern w:val="2"/>
          <w:sz w:val="24"/>
          <w:szCs w:val="24"/>
        </w:rPr>
      </w:pPr>
    </w:p>
    <w:p>
      <w:pPr>
        <w:widowControl w:val="0"/>
        <w:spacing w:after="0" w:line="460" w:lineRule="exact"/>
        <w:ind w:left="-270" w:leftChars="-135"/>
        <w:jc w:val="both"/>
        <w:rPr>
          <w:rFonts w:ascii="宋体" w:hAnsi="宋体" w:eastAsia="宋体" w:cs="Times New Roman"/>
          <w:kern w:val="2"/>
          <w:sz w:val="21"/>
          <w:szCs w:val="21"/>
        </w:rPr>
      </w:pPr>
      <w:r>
        <w:rPr>
          <w:rFonts w:hint="eastAsia" w:ascii="宋体" w:hAnsi="宋体" w:eastAsia="宋体" w:cs="Times New Roman"/>
          <w:kern w:val="2"/>
          <w:sz w:val="21"/>
          <w:szCs w:val="21"/>
        </w:rPr>
        <w:t>签署页：</w:t>
      </w:r>
    </w:p>
    <w:tbl>
      <w:tblPr>
        <w:tblStyle w:val="34"/>
        <w:tblpPr w:leftFromText="180" w:rightFromText="180" w:vertAnchor="text" w:horzAnchor="margin" w:tblpY="206"/>
        <w:tblW w:w="9752" w:type="dxa"/>
        <w:tblInd w:w="0" w:type="dxa"/>
        <w:tblLayout w:type="autofit"/>
        <w:tblCellMar>
          <w:top w:w="0" w:type="dxa"/>
          <w:left w:w="108" w:type="dxa"/>
          <w:bottom w:w="0" w:type="dxa"/>
          <w:right w:w="108" w:type="dxa"/>
        </w:tblCellMar>
      </w:tblPr>
      <w:tblGrid>
        <w:gridCol w:w="4678"/>
        <w:gridCol w:w="5074"/>
      </w:tblGrid>
      <w:tr>
        <w:tblPrEx>
          <w:tblCellMar>
            <w:top w:w="0" w:type="dxa"/>
            <w:left w:w="108" w:type="dxa"/>
            <w:bottom w:w="0" w:type="dxa"/>
            <w:right w:w="108" w:type="dxa"/>
          </w:tblCellMar>
        </w:tblPrEx>
        <w:tc>
          <w:tcPr>
            <w:tcW w:w="4678" w:type="dxa"/>
          </w:tcPr>
          <w:p>
            <w:pPr>
              <w:widowControl w:val="0"/>
              <w:spacing w:after="0" w:line="460" w:lineRule="exact"/>
              <w:ind w:left="-540" w:leftChars="-270"/>
              <w:jc w:val="both"/>
              <w:rPr>
                <w:rFonts w:ascii="宋体" w:hAnsi="宋体" w:eastAsia="宋体" w:cs="Times New Roman"/>
                <w:kern w:val="2"/>
                <w:sz w:val="21"/>
                <w:szCs w:val="21"/>
              </w:rPr>
            </w:pPr>
            <w:r>
              <w:rPr>
                <w:rFonts w:hint="eastAsia" w:ascii="宋体" w:hAnsi="宋体" w:eastAsia="宋体" w:cs="Times New Roman"/>
                <w:kern w:val="2"/>
                <w:sz w:val="21"/>
                <w:szCs w:val="21"/>
              </w:rPr>
              <w:t>甲方 甲方（需求方）：</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地址：</w:t>
            </w:r>
          </w:p>
          <w:p>
            <w:pPr>
              <w:widowControl w:val="0"/>
              <w:spacing w:after="0" w:line="460" w:lineRule="exact"/>
              <w:jc w:val="both"/>
              <w:rPr>
                <w:rFonts w:ascii="宋体" w:hAnsi="宋体" w:eastAsia="宋体" w:cs="Times New Roman"/>
                <w:kern w:val="2"/>
                <w:sz w:val="21"/>
                <w:szCs w:val="21"/>
                <w:lang w:val="zh-CN"/>
              </w:rPr>
            </w:pPr>
            <w:r>
              <w:rPr>
                <w:rFonts w:hint="eastAsia" w:ascii="宋体" w:hAnsi="宋体" w:eastAsia="宋体" w:cs="Times New Roman"/>
                <w:kern w:val="2"/>
                <w:sz w:val="21"/>
                <w:szCs w:val="21"/>
              </w:rPr>
              <w:t>法定代表人：</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指定联络人：</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电话：</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开户行：</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账号：</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纳税人识别号：</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签订日期：</w:t>
            </w:r>
          </w:p>
        </w:tc>
        <w:tc>
          <w:tcPr>
            <w:tcW w:w="5074" w:type="dxa"/>
          </w:tcPr>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 xml:space="preserve">乙方（供货方）： </w:t>
            </w:r>
          </w:p>
          <w:p>
            <w:pPr>
              <w:widowControl w:val="0"/>
              <w:spacing w:after="0" w:line="460" w:lineRule="exact"/>
              <w:ind w:left="-540" w:leftChars="-270"/>
              <w:jc w:val="both"/>
              <w:rPr>
                <w:rFonts w:ascii="宋体" w:hAnsi="宋体" w:eastAsia="宋体" w:cs="Times New Roman"/>
                <w:kern w:val="2"/>
                <w:sz w:val="21"/>
                <w:szCs w:val="21"/>
              </w:rPr>
            </w:pPr>
            <w:r>
              <w:rPr>
                <w:rFonts w:hint="eastAsia" w:ascii="宋体" w:hAnsi="宋体" w:eastAsia="宋体" w:cs="Times New Roman"/>
                <w:kern w:val="2"/>
                <w:sz w:val="21"/>
                <w:szCs w:val="21"/>
              </w:rPr>
              <w:t xml:space="preserve"> 甲  地址：</w:t>
            </w:r>
          </w:p>
          <w:p>
            <w:pPr>
              <w:widowControl w:val="0"/>
              <w:spacing w:after="0" w:line="460" w:lineRule="exact"/>
              <w:jc w:val="both"/>
              <w:rPr>
                <w:rFonts w:ascii="宋体" w:hAnsi="宋体" w:eastAsia="宋体" w:cs="Times New Roman"/>
                <w:kern w:val="2"/>
                <w:sz w:val="21"/>
                <w:szCs w:val="21"/>
                <w:lang w:val="zh-CN"/>
              </w:rPr>
            </w:pPr>
            <w:r>
              <w:rPr>
                <w:rFonts w:hint="eastAsia" w:ascii="宋体" w:hAnsi="宋体" w:eastAsia="宋体" w:cs="Times New Roman"/>
                <w:kern w:val="2"/>
                <w:sz w:val="21"/>
                <w:szCs w:val="21"/>
              </w:rPr>
              <w:t>法定代表人：</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指定联络人：</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电话：</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开户行：</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账号：</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纳税人识别号：</w:t>
            </w:r>
          </w:p>
          <w:p>
            <w:pPr>
              <w:widowControl w:val="0"/>
              <w:spacing w:after="0" w:line="460" w:lineRule="exact"/>
              <w:jc w:val="both"/>
              <w:rPr>
                <w:rFonts w:ascii="宋体" w:hAnsi="宋体" w:eastAsia="宋体" w:cs="Times New Roman"/>
                <w:kern w:val="2"/>
                <w:sz w:val="21"/>
                <w:szCs w:val="21"/>
              </w:rPr>
            </w:pPr>
            <w:r>
              <w:rPr>
                <w:rFonts w:hint="eastAsia" w:ascii="宋体" w:hAnsi="宋体" w:eastAsia="宋体" w:cs="Times New Roman"/>
                <w:kern w:val="2"/>
                <w:sz w:val="21"/>
                <w:szCs w:val="21"/>
              </w:rPr>
              <w:t>签订日期：</w:t>
            </w:r>
          </w:p>
        </w:tc>
      </w:tr>
    </w:tbl>
    <w:p>
      <w:pPr>
        <w:widowControl w:val="0"/>
        <w:spacing w:after="0" w:line="360" w:lineRule="auto"/>
        <w:jc w:val="both"/>
        <w:rPr>
          <w:rFonts w:ascii="Times New Roman" w:hAnsi="Times New Roman" w:eastAsia="宋体" w:cs="Times New Roman"/>
          <w:b/>
          <w:kern w:val="2"/>
          <w:sz w:val="21"/>
          <w:szCs w:val="24"/>
        </w:rPr>
      </w:pPr>
    </w:p>
    <w:p>
      <w:pPr>
        <w:tabs>
          <w:tab w:val="left" w:pos="1442"/>
        </w:tabs>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both"/>
        <w:outlineLvl w:val="0"/>
        <w:rPr>
          <w:rFonts w:hint="eastAsia" w:asciiTheme="minorEastAsia" w:hAnsiTheme="minorEastAsia"/>
          <w:sz w:val="44"/>
        </w:rPr>
      </w:pPr>
      <w:bookmarkStart w:id="377" w:name="_Toc249329160"/>
      <w:bookmarkStart w:id="378" w:name="_Toc249322006"/>
      <w:bookmarkStart w:id="379" w:name="_Toc249329319"/>
      <w:bookmarkStart w:id="380" w:name="_Toc249322101"/>
      <w:bookmarkStart w:id="381" w:name="_Toc249321895"/>
      <w:bookmarkStart w:id="382" w:name="_Toc249266235"/>
    </w:p>
    <w:p>
      <w:pPr>
        <w:jc w:val="center"/>
        <w:outlineLvl w:val="0"/>
        <w:rPr>
          <w:rFonts w:hint="eastAsia" w:asciiTheme="minorEastAsia" w:hAnsiTheme="minorEastAsia"/>
          <w:sz w:val="44"/>
        </w:rPr>
      </w:pPr>
    </w:p>
    <w:p>
      <w:pPr>
        <w:jc w:val="center"/>
        <w:outlineLvl w:val="0"/>
        <w:rPr>
          <w:rFonts w:asciiTheme="minorEastAsia" w:hAnsiTheme="minorEastAsia"/>
          <w:sz w:val="44"/>
        </w:rPr>
      </w:pPr>
      <w:r>
        <w:rPr>
          <w:rFonts w:hint="eastAsia" w:asciiTheme="minorEastAsia" w:hAnsiTheme="minorEastAsia"/>
          <w:sz w:val="44"/>
        </w:rPr>
        <w:t>第六卷 附  件</w:t>
      </w:r>
      <w:bookmarkEnd w:id="377"/>
      <w:bookmarkEnd w:id="378"/>
      <w:bookmarkEnd w:id="379"/>
      <w:bookmarkEnd w:id="380"/>
      <w:bookmarkEnd w:id="381"/>
      <w:bookmarkEnd w:id="382"/>
      <w:bookmarkStart w:id="383" w:name="_Toc249266236"/>
      <w:bookmarkStart w:id="384" w:name="_Toc249329161"/>
      <w:bookmarkStart w:id="385" w:name="_Toc249329320"/>
      <w:bookmarkStart w:id="386" w:name="_Toc249321896"/>
      <w:bookmarkStart w:id="387" w:name="_Toc77590248"/>
      <w:bookmarkStart w:id="388" w:name="_Toc7607096"/>
      <w:bookmarkStart w:id="389" w:name="_Toc18050489"/>
      <w:bookmarkStart w:id="390" w:name="_Toc17857640"/>
    </w:p>
    <w:p>
      <w:pPr>
        <w:jc w:val="center"/>
        <w:outlineLvl w:val="0"/>
        <w:rPr>
          <w:rFonts w:asciiTheme="minorEastAsia" w:hAnsiTheme="minorEastAsia"/>
          <w:sz w:val="44"/>
        </w:rPr>
      </w:pPr>
    </w:p>
    <w:p>
      <w:pPr>
        <w:spacing w:line="360" w:lineRule="auto"/>
        <w:jc w:val="center"/>
        <w:rPr>
          <w:rFonts w:asciiTheme="minorEastAsia" w:hAnsiTheme="minorEastAsia"/>
          <w:b/>
          <w:spacing w:val="32"/>
          <w:w w:val="90"/>
          <w:sz w:val="52"/>
          <w:szCs w:val="52"/>
        </w:rPr>
      </w:pPr>
      <w:r>
        <w:rPr>
          <w:rFonts w:hint="eastAsia" w:asciiTheme="minorEastAsia" w:hAnsiTheme="minorEastAsia"/>
          <w:b/>
          <w:spacing w:val="32"/>
          <w:w w:val="90"/>
          <w:sz w:val="52"/>
          <w:szCs w:val="52"/>
        </w:rPr>
        <w:t>河北建工集团</w:t>
      </w:r>
    </w:p>
    <w:tbl>
      <w:tblPr>
        <w:tblStyle w:val="34"/>
        <w:tblpPr w:leftFromText="180" w:rightFromText="180" w:vertAnchor="page" w:horzAnchor="margin" w:tblpXSpec="right" w:tblpY="1268"/>
        <w:tblW w:w="14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451" w:type="dxa"/>
            <w:vAlign w:val="center"/>
          </w:tcPr>
          <w:p>
            <w:pPr>
              <w:spacing w:line="360" w:lineRule="auto"/>
              <w:jc w:val="center"/>
              <w:rPr>
                <w:b/>
                <w:color w:val="000000"/>
                <w:kern w:val="2"/>
                <w:sz w:val="21"/>
                <w:szCs w:val="22"/>
              </w:rPr>
            </w:pPr>
            <w:r>
              <w:rPr>
                <w:b/>
                <w:color w:val="000000"/>
                <w:kern w:val="2"/>
                <w:sz w:val="21"/>
                <w:szCs w:val="22"/>
              </w:rPr>
              <w:t>正本或副本</w:t>
            </w:r>
          </w:p>
        </w:tc>
      </w:tr>
    </w:tbl>
    <w:p>
      <w:pPr>
        <w:spacing w:line="360" w:lineRule="auto"/>
        <w:jc w:val="center"/>
        <w:rPr>
          <w:rFonts w:asciiTheme="minorEastAsia" w:hAnsiTheme="minorEastAsia"/>
          <w:b/>
          <w:spacing w:val="32"/>
          <w:w w:val="90"/>
          <w:sz w:val="52"/>
          <w:szCs w:val="52"/>
        </w:rPr>
      </w:pPr>
      <w:r>
        <w:rPr>
          <w:rFonts w:hint="eastAsia" w:asciiTheme="minorEastAsia" w:hAnsiTheme="minorEastAsia"/>
          <w:b/>
          <w:spacing w:val="32"/>
          <w:w w:val="90"/>
          <w:sz w:val="52"/>
          <w:szCs w:val="52"/>
        </w:rPr>
        <w:t>服务器及相关设备采购项目</w:t>
      </w:r>
    </w:p>
    <w:p>
      <w:pPr>
        <w:spacing w:line="360" w:lineRule="auto"/>
        <w:jc w:val="center"/>
        <w:rPr>
          <w:rFonts w:asciiTheme="minorEastAsia" w:hAnsiTheme="minorEastAsia"/>
          <w:b/>
          <w:spacing w:val="32"/>
          <w:w w:val="90"/>
          <w:sz w:val="72"/>
          <w:szCs w:val="72"/>
        </w:rPr>
      </w:pPr>
      <w:r>
        <w:rPr>
          <w:rFonts w:hint="eastAsia" w:asciiTheme="minorEastAsia" w:hAnsiTheme="minorEastAsia"/>
          <w:b/>
          <w:spacing w:val="32"/>
          <w:w w:val="90"/>
          <w:sz w:val="72"/>
          <w:szCs w:val="72"/>
        </w:rPr>
        <w:t>招标文件</w:t>
      </w:r>
      <w:r>
        <w:rPr>
          <w:bCs/>
          <w:color w:val="000000"/>
          <w:sz w:val="32"/>
          <w:u w:val="single"/>
        </w:rPr>
        <w:t xml:space="preserve">                         </w:t>
      </w:r>
    </w:p>
    <w:p>
      <w:pPr>
        <w:adjustRightInd w:val="0"/>
        <w:snapToGrid w:val="0"/>
        <w:ind w:firstLine="1369" w:firstLineChars="426"/>
        <w:rPr>
          <w:rFonts w:asciiTheme="minorEastAsia" w:hAnsiTheme="minorEastAsia"/>
          <w:b/>
          <w:bCs/>
          <w:sz w:val="32"/>
          <w:szCs w:val="32"/>
        </w:rPr>
      </w:pPr>
    </w:p>
    <w:p>
      <w:pPr>
        <w:adjustRightInd w:val="0"/>
        <w:snapToGrid w:val="0"/>
        <w:rPr>
          <w:rFonts w:asciiTheme="minorEastAsia" w:hAnsiTheme="minorEastAsia"/>
          <w:b/>
          <w:bCs/>
          <w:sz w:val="32"/>
          <w:szCs w:val="32"/>
        </w:rPr>
      </w:pPr>
    </w:p>
    <w:p>
      <w:pPr>
        <w:adjustRightInd w:val="0"/>
        <w:snapToGrid w:val="0"/>
        <w:ind w:firstLine="1369" w:firstLineChars="426"/>
        <w:rPr>
          <w:rFonts w:asciiTheme="minorEastAsia" w:hAnsiTheme="minorEastAsia"/>
          <w:b/>
          <w:bCs/>
          <w:sz w:val="32"/>
          <w:szCs w:val="32"/>
        </w:rPr>
      </w:pPr>
    </w:p>
    <w:p>
      <w:pPr>
        <w:adjustRightInd w:val="0"/>
        <w:snapToGrid w:val="0"/>
        <w:ind w:firstLine="1369" w:firstLineChars="426"/>
        <w:rPr>
          <w:rFonts w:asciiTheme="minorEastAsia" w:hAnsiTheme="minorEastAsia"/>
          <w:b/>
          <w:bCs/>
          <w:sz w:val="32"/>
          <w:szCs w:val="32"/>
        </w:rPr>
      </w:pPr>
    </w:p>
    <w:p>
      <w:pPr>
        <w:adjustRightInd w:val="0"/>
        <w:snapToGrid w:val="0"/>
        <w:rPr>
          <w:bCs/>
          <w:color w:val="000000"/>
          <w:sz w:val="32"/>
        </w:rPr>
      </w:pPr>
      <w:r>
        <w:rPr>
          <w:bCs/>
          <w:color w:val="000000"/>
          <w:sz w:val="32"/>
        </w:rPr>
        <w:t>招标编号：</w:t>
      </w:r>
    </w:p>
    <w:p>
      <w:pPr>
        <w:adjustRightInd w:val="0"/>
        <w:snapToGrid w:val="0"/>
        <w:rPr>
          <w:color w:val="000000"/>
          <w:spacing w:val="8"/>
          <w:sz w:val="32"/>
          <w:u w:val="single"/>
        </w:rPr>
      </w:pPr>
      <w:r>
        <w:rPr>
          <w:color w:val="000000"/>
          <w:spacing w:val="8"/>
          <w:sz w:val="32"/>
        </w:rPr>
        <w:t>项目名称：</w:t>
      </w:r>
      <w:r>
        <w:rPr>
          <w:color w:val="000000"/>
          <w:spacing w:val="8"/>
          <w:sz w:val="32"/>
          <w:u w:val="single"/>
        </w:rPr>
        <w:t xml:space="preserve"> </w:t>
      </w:r>
    </w:p>
    <w:p>
      <w:pPr>
        <w:adjustRightInd w:val="0"/>
        <w:snapToGrid w:val="0"/>
        <w:spacing w:line="560" w:lineRule="exact"/>
        <w:rPr>
          <w:color w:val="000000"/>
          <w:spacing w:val="8"/>
          <w:sz w:val="32"/>
          <w:u w:val="single"/>
        </w:rPr>
      </w:pPr>
      <w:r>
        <w:rPr>
          <w:color w:val="000000"/>
          <w:spacing w:val="8"/>
          <w:sz w:val="32"/>
        </w:rPr>
        <w:t>投标人：</w:t>
      </w:r>
      <w:r>
        <w:rPr>
          <w:color w:val="000000"/>
          <w:spacing w:val="8"/>
          <w:sz w:val="32"/>
          <w:u w:val="single"/>
        </w:rPr>
        <w:t xml:space="preserve">                         (盖章) </w:t>
      </w:r>
    </w:p>
    <w:p>
      <w:pPr>
        <w:adjustRightInd w:val="0"/>
        <w:snapToGrid w:val="0"/>
        <w:spacing w:line="560" w:lineRule="exact"/>
        <w:rPr>
          <w:color w:val="000000"/>
          <w:spacing w:val="8"/>
          <w:sz w:val="32"/>
        </w:rPr>
      </w:pPr>
      <w:r>
        <w:rPr>
          <w:color w:val="000000"/>
          <w:spacing w:val="8"/>
          <w:sz w:val="32"/>
        </w:rPr>
        <w:t>法定代表人或其委托代理人：</w:t>
      </w:r>
      <w:r>
        <w:rPr>
          <w:color w:val="000000"/>
          <w:spacing w:val="8"/>
          <w:sz w:val="32"/>
          <w:u w:val="single"/>
        </w:rPr>
        <w:t xml:space="preserve">   (签字</w:t>
      </w:r>
      <w:r>
        <w:rPr>
          <w:rFonts w:hint="eastAsia"/>
          <w:color w:val="000000"/>
          <w:spacing w:val="8"/>
          <w:sz w:val="32"/>
          <w:u w:val="single"/>
        </w:rPr>
        <w:t>并</w:t>
      </w:r>
      <w:r>
        <w:rPr>
          <w:color w:val="000000"/>
          <w:spacing w:val="8"/>
          <w:sz w:val="32"/>
          <w:u w:val="single"/>
        </w:rPr>
        <w:t>盖章)</w:t>
      </w:r>
    </w:p>
    <w:p>
      <w:pPr>
        <w:spacing w:line="600" w:lineRule="exact"/>
        <w:rPr>
          <w:color w:val="000000"/>
          <w:spacing w:val="8"/>
          <w:sz w:val="32"/>
        </w:rPr>
      </w:pPr>
      <w:r>
        <w:rPr>
          <w:color w:val="000000"/>
          <w:spacing w:val="8"/>
          <w:sz w:val="32"/>
        </w:rPr>
        <w:t>日期：</w:t>
      </w:r>
      <w:r>
        <w:rPr>
          <w:color w:val="000000"/>
          <w:spacing w:val="8"/>
          <w:sz w:val="32"/>
          <w:u w:val="single"/>
        </w:rPr>
        <w:t xml:space="preserve">        </w:t>
      </w:r>
      <w:r>
        <w:rPr>
          <w:color w:val="000000"/>
          <w:spacing w:val="8"/>
          <w:sz w:val="32"/>
        </w:rPr>
        <w:t>年</w:t>
      </w:r>
      <w:r>
        <w:rPr>
          <w:color w:val="000000"/>
          <w:spacing w:val="8"/>
          <w:sz w:val="32"/>
          <w:u w:val="single"/>
        </w:rPr>
        <w:t xml:space="preserve">       </w:t>
      </w:r>
      <w:r>
        <w:rPr>
          <w:color w:val="000000"/>
          <w:spacing w:val="8"/>
          <w:sz w:val="32"/>
        </w:rPr>
        <w:t>月</w:t>
      </w:r>
      <w:r>
        <w:rPr>
          <w:color w:val="000000"/>
          <w:spacing w:val="8"/>
          <w:sz w:val="32"/>
          <w:u w:val="single"/>
        </w:rPr>
        <w:t xml:space="preserve">       </w:t>
      </w:r>
      <w:r>
        <w:rPr>
          <w:color w:val="000000"/>
          <w:spacing w:val="8"/>
          <w:sz w:val="32"/>
        </w:rPr>
        <w:t>日</w:t>
      </w:r>
    </w:p>
    <w:p>
      <w:pPr>
        <w:rPr>
          <w:rFonts w:asciiTheme="minorEastAsia" w:hAnsiTheme="minorEastAsia"/>
          <w:b/>
          <w:bCs/>
          <w:sz w:val="32"/>
          <w:szCs w:val="32"/>
        </w:rPr>
      </w:pPr>
    </w:p>
    <w:bookmarkEnd w:id="383"/>
    <w:bookmarkEnd w:id="384"/>
    <w:bookmarkEnd w:id="385"/>
    <w:bookmarkEnd w:id="386"/>
    <w:p>
      <w:pPr>
        <w:jc w:val="center"/>
        <w:rPr>
          <w:rFonts w:asciiTheme="minorEastAsia" w:hAnsiTheme="minorEastAsia"/>
          <w:b/>
          <w:bCs/>
          <w:sz w:val="32"/>
        </w:rPr>
      </w:pPr>
    </w:p>
    <w:p>
      <w:pPr>
        <w:jc w:val="center"/>
        <w:rPr>
          <w:rFonts w:asciiTheme="minorEastAsia" w:hAnsiTheme="minorEastAsia"/>
          <w:b/>
          <w:bCs/>
          <w:sz w:val="32"/>
        </w:rPr>
      </w:pPr>
      <w:r>
        <w:rPr>
          <w:rFonts w:asciiTheme="minorEastAsia" w:hAnsiTheme="minorEastAsia"/>
          <w:b/>
          <w:bCs/>
          <w:sz w:val="32"/>
        </w:rPr>
        <w:t>A商务部分</w:t>
      </w:r>
    </w:p>
    <w:p>
      <w:pPr>
        <w:jc w:val="center"/>
        <w:rPr>
          <w:rFonts w:asciiTheme="minorEastAsia" w:hAnsiTheme="minorEastAsia"/>
          <w:b/>
          <w:bCs/>
          <w:sz w:val="32"/>
        </w:rPr>
      </w:pPr>
      <w:r>
        <w:rPr>
          <w:rFonts w:hint="eastAsia" w:asciiTheme="minorEastAsia" w:hAnsiTheme="minorEastAsia"/>
          <w:b/>
          <w:bCs/>
          <w:sz w:val="32"/>
        </w:rPr>
        <w:t>一、投标函</w:t>
      </w:r>
    </w:p>
    <w:p>
      <w:pPr>
        <w:autoSpaceDE w:val="0"/>
        <w:autoSpaceDN w:val="0"/>
        <w:adjustRightInd w:val="0"/>
        <w:spacing w:line="480" w:lineRule="exact"/>
        <w:ind w:firstLine="480" w:firstLineChars="200"/>
        <w:rPr>
          <w:bCs/>
          <w:color w:val="000000"/>
          <w:spacing w:val="8"/>
          <w:sz w:val="24"/>
        </w:rPr>
      </w:pPr>
      <w:r>
        <w:rPr>
          <w:color w:val="000000"/>
          <w:sz w:val="24"/>
        </w:rPr>
        <w:t>根据你方招标的         项目招标文件，提交投标文件正本一套和副本三套。我方的投标总</w:t>
      </w:r>
      <w:r>
        <w:rPr>
          <w:color w:val="000000"/>
          <w:sz w:val="24"/>
          <w:szCs w:val="22"/>
        </w:rPr>
        <w:t>价为：</w:t>
      </w:r>
      <w:r>
        <w:rPr>
          <w:rFonts w:hint="eastAsia"/>
          <w:color w:val="000000"/>
          <w:sz w:val="24"/>
          <w:szCs w:val="22"/>
        </w:rPr>
        <w:t>包干总价     元，（大写       元），其中不含税价格 元，税金     元，税率    %。</w:t>
      </w:r>
      <w:r>
        <w:rPr>
          <w:color w:val="000000"/>
          <w:sz w:val="24"/>
          <w:szCs w:val="22"/>
        </w:rPr>
        <w:t>；并</w:t>
      </w:r>
      <w:r>
        <w:rPr>
          <w:color w:val="000000"/>
          <w:sz w:val="24"/>
        </w:rPr>
        <w:t>按照</w:t>
      </w:r>
      <w:r>
        <w:rPr>
          <w:rFonts w:hint="eastAsia"/>
          <w:color w:val="000000"/>
          <w:sz w:val="24"/>
        </w:rPr>
        <w:t>服务器及相关设备采购项目</w:t>
      </w:r>
      <w:r>
        <w:rPr>
          <w:color w:val="000000"/>
          <w:sz w:val="24"/>
        </w:rPr>
        <w:t>的要</w:t>
      </w:r>
      <w:r>
        <w:rPr>
          <w:bCs/>
          <w:color w:val="000000"/>
          <w:spacing w:val="8"/>
          <w:sz w:val="24"/>
        </w:rPr>
        <w:t>求，对所供应设备材料及安装调试的质量负责。</w:t>
      </w:r>
    </w:p>
    <w:p>
      <w:pPr>
        <w:autoSpaceDE w:val="0"/>
        <w:autoSpaceDN w:val="0"/>
        <w:adjustRightInd w:val="0"/>
        <w:spacing w:line="480" w:lineRule="exact"/>
        <w:ind w:firstLine="624"/>
        <w:rPr>
          <w:bCs/>
          <w:color w:val="000000"/>
          <w:sz w:val="24"/>
        </w:rPr>
      </w:pPr>
      <w:r>
        <w:rPr>
          <w:bCs/>
          <w:color w:val="000000"/>
          <w:sz w:val="24"/>
        </w:rPr>
        <w:t>（1）投标人将按招标文件的规定履行合同责任和义务；</w:t>
      </w:r>
    </w:p>
    <w:p>
      <w:pPr>
        <w:autoSpaceDE w:val="0"/>
        <w:autoSpaceDN w:val="0"/>
        <w:adjustRightInd w:val="0"/>
        <w:spacing w:line="480" w:lineRule="exact"/>
        <w:ind w:firstLine="624"/>
        <w:rPr>
          <w:bCs/>
          <w:color w:val="000000"/>
          <w:sz w:val="24"/>
        </w:rPr>
      </w:pPr>
      <w:r>
        <w:rPr>
          <w:bCs/>
          <w:color w:val="000000"/>
          <w:sz w:val="24"/>
        </w:rPr>
        <w:t>（2）投标人已详细审查全部招标文件，包括修改文件（如有的话）以及全部参考资料；投标人完全清楚其应放弃一切存有含糊不清或误解的权利；</w:t>
      </w:r>
    </w:p>
    <w:p>
      <w:pPr>
        <w:autoSpaceDE w:val="0"/>
        <w:autoSpaceDN w:val="0"/>
        <w:adjustRightInd w:val="0"/>
        <w:spacing w:line="480" w:lineRule="exact"/>
        <w:ind w:firstLine="624"/>
        <w:rPr>
          <w:bCs/>
          <w:color w:val="000000"/>
          <w:sz w:val="24"/>
        </w:rPr>
      </w:pPr>
      <w:r>
        <w:rPr>
          <w:bCs/>
          <w:color w:val="000000"/>
          <w:sz w:val="24"/>
        </w:rPr>
        <w:t>（3）在开标规定日期和时间后，投标人在投标有效期内不得撤回投标；</w:t>
      </w:r>
    </w:p>
    <w:p>
      <w:pPr>
        <w:autoSpaceDE w:val="0"/>
        <w:autoSpaceDN w:val="0"/>
        <w:adjustRightInd w:val="0"/>
        <w:spacing w:line="480" w:lineRule="exact"/>
        <w:ind w:firstLine="624"/>
        <w:rPr>
          <w:bCs/>
          <w:color w:val="000000"/>
          <w:sz w:val="24"/>
        </w:rPr>
      </w:pPr>
      <w:r>
        <w:rPr>
          <w:bCs/>
          <w:color w:val="000000"/>
          <w:sz w:val="24"/>
        </w:rPr>
        <w:t>（4）投标人同意提供按照招标人要求的与其投标有关的一切数据或资料，完全理解甲方不一定要接受最低价的投标；</w:t>
      </w:r>
    </w:p>
    <w:p>
      <w:pPr>
        <w:spacing w:line="480" w:lineRule="exact"/>
        <w:ind w:firstLine="600" w:firstLineChars="250"/>
        <w:rPr>
          <w:bCs/>
          <w:color w:val="000000"/>
          <w:spacing w:val="8"/>
          <w:sz w:val="24"/>
        </w:rPr>
      </w:pPr>
      <w:r>
        <w:rPr>
          <w:bCs/>
          <w:color w:val="000000"/>
          <w:sz w:val="24"/>
        </w:rPr>
        <w:t>（5）</w:t>
      </w:r>
      <w:r>
        <w:rPr>
          <w:bCs/>
          <w:color w:val="000000"/>
          <w:spacing w:val="8"/>
          <w:sz w:val="24"/>
        </w:rPr>
        <w:t xml:space="preserve">一旦我方中标，我方保证 </w:t>
      </w:r>
      <w:r>
        <w:rPr>
          <w:bCs/>
          <w:color w:val="000000"/>
          <w:spacing w:val="8"/>
          <w:sz w:val="24"/>
          <w:u w:val="single"/>
        </w:rPr>
        <w:t xml:space="preserve">    </w:t>
      </w:r>
      <w:r>
        <w:rPr>
          <w:bCs/>
          <w:color w:val="000000"/>
          <w:spacing w:val="8"/>
          <w:sz w:val="24"/>
        </w:rPr>
        <w:t>日历天内交货并完成</w:t>
      </w:r>
      <w:r>
        <w:rPr>
          <w:rFonts w:hint="eastAsia"/>
          <w:bCs/>
          <w:color w:val="000000"/>
          <w:spacing w:val="8"/>
          <w:sz w:val="24"/>
        </w:rPr>
        <w:t>相应布置</w:t>
      </w:r>
      <w:r>
        <w:rPr>
          <w:bCs/>
          <w:color w:val="000000"/>
          <w:spacing w:val="8"/>
          <w:sz w:val="24"/>
        </w:rPr>
        <w:t>。</w:t>
      </w:r>
    </w:p>
    <w:p>
      <w:pPr>
        <w:autoSpaceDE w:val="0"/>
        <w:autoSpaceDN w:val="0"/>
        <w:adjustRightInd w:val="0"/>
        <w:spacing w:line="480" w:lineRule="exact"/>
        <w:ind w:firstLine="624"/>
        <w:rPr>
          <w:bCs/>
          <w:color w:val="000000"/>
          <w:sz w:val="24"/>
        </w:rPr>
      </w:pPr>
      <w:r>
        <w:rPr>
          <w:bCs/>
          <w:color w:val="000000"/>
          <w:spacing w:val="8"/>
          <w:sz w:val="24"/>
        </w:rPr>
        <w:t>（6）</w:t>
      </w:r>
      <w:r>
        <w:rPr>
          <w:color w:val="000000"/>
          <w:sz w:val="24"/>
        </w:rPr>
        <w:t>与本招标有关的正式通讯地址为：</w:t>
      </w:r>
    </w:p>
    <w:p>
      <w:pPr>
        <w:autoSpaceDE w:val="0"/>
        <w:autoSpaceDN w:val="0"/>
        <w:adjustRightInd w:val="0"/>
        <w:spacing w:line="480" w:lineRule="exact"/>
        <w:ind w:firstLine="400"/>
        <w:rPr>
          <w:bCs/>
          <w:color w:val="000000"/>
          <w:sz w:val="24"/>
        </w:rPr>
      </w:pPr>
    </w:p>
    <w:p>
      <w:pPr>
        <w:autoSpaceDE w:val="0"/>
        <w:autoSpaceDN w:val="0"/>
        <w:adjustRightInd w:val="0"/>
        <w:spacing w:line="480" w:lineRule="exact"/>
        <w:ind w:firstLine="400"/>
        <w:rPr>
          <w:bCs/>
          <w:color w:val="000000"/>
          <w:sz w:val="24"/>
        </w:rPr>
      </w:pPr>
      <w:r>
        <w:rPr>
          <w:bCs/>
          <w:color w:val="000000"/>
          <w:sz w:val="24"/>
        </w:rPr>
        <w:t>地址：　　　　　　　　　　　　　　邮编：</w:t>
      </w:r>
    </w:p>
    <w:p>
      <w:pPr>
        <w:autoSpaceDE w:val="0"/>
        <w:autoSpaceDN w:val="0"/>
        <w:adjustRightInd w:val="0"/>
        <w:spacing w:line="480" w:lineRule="exact"/>
        <w:ind w:firstLine="400"/>
        <w:rPr>
          <w:bCs/>
          <w:color w:val="000000"/>
          <w:sz w:val="24"/>
        </w:rPr>
      </w:pPr>
      <w:r>
        <w:rPr>
          <w:bCs/>
          <w:color w:val="000000"/>
          <w:sz w:val="24"/>
        </w:rPr>
        <w:t>电话：　　　　　　　　　　　　　　传真：</w:t>
      </w:r>
    </w:p>
    <w:p>
      <w:pPr>
        <w:autoSpaceDE w:val="0"/>
        <w:autoSpaceDN w:val="0"/>
        <w:adjustRightInd w:val="0"/>
        <w:spacing w:line="364" w:lineRule="atLeast"/>
        <w:ind w:firstLine="480"/>
        <w:rPr>
          <w:b/>
          <w:bCs/>
          <w:color w:val="000000"/>
          <w:sz w:val="24"/>
        </w:rPr>
      </w:pPr>
    </w:p>
    <w:p>
      <w:pPr>
        <w:spacing w:line="480" w:lineRule="exact"/>
        <w:ind w:firstLine="401" w:firstLineChars="157"/>
        <w:rPr>
          <w:bCs/>
          <w:color w:val="000000"/>
          <w:spacing w:val="8"/>
          <w:sz w:val="24"/>
        </w:rPr>
      </w:pPr>
      <w:r>
        <w:rPr>
          <w:bCs/>
          <w:color w:val="000000"/>
          <w:spacing w:val="8"/>
          <w:sz w:val="24"/>
        </w:rPr>
        <w:t>投标人：</w:t>
      </w:r>
      <w:r>
        <w:rPr>
          <w:bCs/>
          <w:color w:val="000000"/>
          <w:spacing w:val="8"/>
          <w:sz w:val="24"/>
          <w:u w:val="single"/>
        </w:rPr>
        <w:t xml:space="preserve">                      (盖章)   </w:t>
      </w:r>
      <w:r>
        <w:rPr>
          <w:bCs/>
          <w:color w:val="000000"/>
          <w:spacing w:val="8"/>
          <w:sz w:val="24"/>
        </w:rPr>
        <w:t xml:space="preserve">    </w:t>
      </w:r>
    </w:p>
    <w:p>
      <w:pPr>
        <w:spacing w:line="480" w:lineRule="exact"/>
        <w:ind w:firstLine="401" w:firstLineChars="157"/>
        <w:rPr>
          <w:bCs/>
          <w:color w:val="000000"/>
          <w:spacing w:val="8"/>
          <w:sz w:val="24"/>
          <w:u w:val="single"/>
        </w:rPr>
      </w:pPr>
      <w:r>
        <w:rPr>
          <w:bCs/>
          <w:color w:val="000000"/>
          <w:spacing w:val="8"/>
          <w:sz w:val="24"/>
        </w:rPr>
        <w:t>法定代表人或</w:t>
      </w:r>
      <w:r>
        <w:rPr>
          <w:rFonts w:hint="eastAsia"/>
          <w:bCs/>
          <w:color w:val="000000"/>
          <w:spacing w:val="8"/>
          <w:sz w:val="24"/>
        </w:rPr>
        <w:t>委托代理</w:t>
      </w:r>
      <w:r>
        <w:rPr>
          <w:bCs/>
          <w:color w:val="000000"/>
          <w:spacing w:val="8"/>
          <w:sz w:val="24"/>
        </w:rPr>
        <w:t>人：</w:t>
      </w:r>
      <w:r>
        <w:rPr>
          <w:bCs/>
          <w:color w:val="000000"/>
          <w:spacing w:val="8"/>
          <w:sz w:val="24"/>
          <w:u w:val="single"/>
        </w:rPr>
        <w:t xml:space="preserve">     （签字</w:t>
      </w:r>
      <w:r>
        <w:rPr>
          <w:rFonts w:hint="eastAsia"/>
          <w:bCs/>
          <w:color w:val="000000"/>
          <w:spacing w:val="8"/>
          <w:sz w:val="24"/>
          <w:u w:val="single"/>
        </w:rPr>
        <w:t>并</w:t>
      </w:r>
      <w:r>
        <w:rPr>
          <w:bCs/>
          <w:color w:val="000000"/>
          <w:spacing w:val="8"/>
          <w:sz w:val="24"/>
          <w:u w:val="single"/>
        </w:rPr>
        <w:t>盖章）</w:t>
      </w:r>
      <w:r>
        <w:rPr>
          <w:bCs/>
          <w:color w:val="000000"/>
          <w:spacing w:val="8"/>
          <w:sz w:val="24"/>
        </w:rPr>
        <w:t xml:space="preserve"> </w:t>
      </w:r>
    </w:p>
    <w:p>
      <w:pPr>
        <w:spacing w:line="480" w:lineRule="exact"/>
        <w:ind w:firstLine="401" w:firstLineChars="157"/>
        <w:rPr>
          <w:bCs/>
          <w:color w:val="000000"/>
          <w:spacing w:val="8"/>
          <w:sz w:val="24"/>
          <w:u w:val="single"/>
        </w:rPr>
      </w:pPr>
      <w:r>
        <w:rPr>
          <w:bCs/>
          <w:color w:val="000000"/>
          <w:spacing w:val="8"/>
          <w:sz w:val="24"/>
        </w:rPr>
        <w:t>电话：</w:t>
      </w:r>
      <w:r>
        <w:rPr>
          <w:bCs/>
          <w:color w:val="000000"/>
          <w:spacing w:val="8"/>
          <w:sz w:val="24"/>
          <w:u w:val="single"/>
        </w:rPr>
        <w:t xml:space="preserve">           </w:t>
      </w:r>
      <w:r>
        <w:rPr>
          <w:bCs/>
          <w:color w:val="000000"/>
          <w:spacing w:val="8"/>
          <w:sz w:val="24"/>
        </w:rPr>
        <w:t>传真：</w:t>
      </w:r>
      <w:r>
        <w:rPr>
          <w:bCs/>
          <w:color w:val="000000"/>
          <w:spacing w:val="8"/>
          <w:sz w:val="24"/>
          <w:u w:val="single"/>
        </w:rPr>
        <w:t xml:space="preserve">           </w:t>
      </w:r>
    </w:p>
    <w:p>
      <w:pPr>
        <w:autoSpaceDE w:val="0"/>
        <w:autoSpaceDN w:val="0"/>
        <w:adjustRightInd w:val="0"/>
        <w:spacing w:line="364" w:lineRule="atLeast"/>
        <w:ind w:firstLine="401" w:firstLineChars="157"/>
        <w:rPr>
          <w:b/>
          <w:bCs/>
          <w:color w:val="000000"/>
          <w:sz w:val="24"/>
        </w:rPr>
      </w:pPr>
      <w:r>
        <w:rPr>
          <w:bCs/>
          <w:color w:val="000000"/>
          <w:spacing w:val="8"/>
          <w:sz w:val="24"/>
        </w:rPr>
        <w:t>日期：</w:t>
      </w:r>
      <w:r>
        <w:rPr>
          <w:bCs/>
          <w:color w:val="000000"/>
          <w:spacing w:val="8"/>
          <w:sz w:val="24"/>
          <w:u w:val="single"/>
        </w:rPr>
        <w:t xml:space="preserve">         </w:t>
      </w:r>
      <w:r>
        <w:rPr>
          <w:bCs/>
          <w:color w:val="000000"/>
          <w:spacing w:val="8"/>
          <w:sz w:val="24"/>
        </w:rPr>
        <w:t>年</w:t>
      </w:r>
      <w:r>
        <w:rPr>
          <w:bCs/>
          <w:color w:val="000000"/>
          <w:spacing w:val="8"/>
          <w:sz w:val="24"/>
          <w:u w:val="single"/>
        </w:rPr>
        <w:t xml:space="preserve">        </w:t>
      </w:r>
      <w:r>
        <w:rPr>
          <w:bCs/>
          <w:color w:val="000000"/>
          <w:spacing w:val="8"/>
          <w:sz w:val="24"/>
        </w:rPr>
        <w:t>月</w:t>
      </w:r>
      <w:r>
        <w:rPr>
          <w:bCs/>
          <w:color w:val="000000"/>
          <w:spacing w:val="8"/>
          <w:sz w:val="24"/>
          <w:u w:val="single"/>
        </w:rPr>
        <w:t xml:space="preserve">       </w:t>
      </w:r>
      <w:r>
        <w:rPr>
          <w:bCs/>
          <w:color w:val="000000"/>
          <w:spacing w:val="8"/>
          <w:sz w:val="24"/>
        </w:rPr>
        <w:t>日</w:t>
      </w:r>
    </w:p>
    <w:p>
      <w:pPr>
        <w:autoSpaceDE w:val="0"/>
        <w:autoSpaceDN w:val="0"/>
        <w:adjustRightInd w:val="0"/>
        <w:spacing w:line="364" w:lineRule="atLeast"/>
        <w:ind w:firstLine="480"/>
        <w:rPr>
          <w:b/>
          <w:bCs/>
          <w:color w:val="000000"/>
          <w:sz w:val="24"/>
        </w:rPr>
      </w:pPr>
    </w:p>
    <w:p>
      <w:pPr>
        <w:rPr>
          <w:rFonts w:asciiTheme="minorEastAsia" w:hAnsiTheme="minorEastAsia"/>
          <w:sz w:val="24"/>
        </w:rPr>
      </w:pPr>
    </w:p>
    <w:p>
      <w:pPr>
        <w:jc w:val="center"/>
        <w:rPr>
          <w:rFonts w:asciiTheme="minorEastAsia" w:hAnsiTheme="minorEastAsia"/>
          <w:b/>
          <w:bCs/>
          <w:sz w:val="32"/>
        </w:rPr>
      </w:pPr>
      <w:r>
        <w:rPr>
          <w:rFonts w:hint="eastAsia" w:asciiTheme="minorEastAsia" w:hAnsiTheme="minorEastAsia"/>
          <w:b/>
          <w:bCs/>
          <w:sz w:val="32"/>
        </w:rPr>
        <w:t>二、投标报价一览表</w:t>
      </w:r>
    </w:p>
    <w:p>
      <w:pPr>
        <w:jc w:val="center"/>
        <w:rPr>
          <w:rFonts w:asciiTheme="minorEastAsia" w:hAnsiTheme="minorEastAsia"/>
          <w:b/>
          <w:bCs/>
          <w:sz w:val="32"/>
        </w:rPr>
      </w:pPr>
    </w:p>
    <w:p>
      <w:pPr>
        <w:rPr>
          <w:rFonts w:asciiTheme="minorEastAsia" w:hAnsiTheme="minorEastAsia"/>
          <w:sz w:val="24"/>
        </w:rPr>
      </w:pPr>
      <w:r>
        <w:rPr>
          <w:rFonts w:hint="eastAsia" w:asciiTheme="minorEastAsia" w:hAnsiTheme="minorEastAsia"/>
          <w:sz w:val="24"/>
        </w:rPr>
        <w:t xml:space="preserve">投标人名称：                            </w:t>
      </w:r>
    </w:p>
    <w:p>
      <w:pPr>
        <w:rPr>
          <w:rFonts w:asciiTheme="minorEastAsia" w:hAnsiTheme="minorEastAsia"/>
          <w:sz w:val="24"/>
        </w:rPr>
      </w:pPr>
      <w:r>
        <w:rPr>
          <w:rFonts w:asciiTheme="minorEastAsia" w:hAnsiTheme="minorEastAsia"/>
          <w:highlight w:val="yellow"/>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2056130" cy="635"/>
                <wp:effectExtent l="0" t="0" r="0" b="0"/>
                <wp:wrapNone/>
                <wp:docPr id="7" name="Line 60"/>
                <wp:cNvGraphicFramePr/>
                <a:graphic xmlns:a="http://schemas.openxmlformats.org/drawingml/2006/main">
                  <a:graphicData uri="http://schemas.microsoft.com/office/word/2010/wordprocessingShape">
                    <wps:wsp>
                      <wps:cNvCnPr/>
                      <wps:spPr>
                        <a:xfrm>
                          <a:off x="0" y="0"/>
                          <a:ext cx="20574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60" o:spid="_x0000_s1026" o:spt="20" style="position:absolute;left:0pt;margin-left:72pt;margin-top:0pt;height:0.05pt;width:161.9pt;z-index:251659264;mso-width-relative:page;mso-height-relative:page;" filled="f" stroked="t" coordsize="21600,21600" o:gfxdata="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B8cN/UAAAABQEAAA8AAAAAAAAAAQAg&#10;AAAAIgAAAGRycy9kb3ducmV2LnhtbFBLAQIUABQAAAAIAIdO4kApPoeX2QEAAN4DAAAOAAAAAAAA&#10;AAEAIAAAACMBAABkcnMvZTJvRG9jLnhtbFBLBQYAAAAABgAGAFkBAABuBQAAAAA=&#10;">
                <v:fill on="f" focussize="0,0"/>
                <v:stroke color="#000000" joinstyle="round"/>
                <v:imagedata o:title=""/>
                <o:lock v:ext="edit" aspectratio="f"/>
              </v:line>
            </w:pict>
          </mc:Fallback>
        </mc:AlternateContent>
      </w:r>
    </w:p>
    <w:tbl>
      <w:tblPr>
        <w:tblStyle w:val="34"/>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5208"/>
        <w:gridCol w:w="1080"/>
        <w:gridCol w:w="69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60" w:type="dxa"/>
            <w:vAlign w:val="center"/>
          </w:tcPr>
          <w:p>
            <w:pPr>
              <w:spacing w:line="240" w:lineRule="atLeast"/>
              <w:jc w:val="center"/>
              <w:rPr>
                <w:b/>
                <w:sz w:val="24"/>
              </w:rPr>
            </w:pPr>
            <w:r>
              <w:rPr>
                <w:rFonts w:hint="eastAsia"/>
                <w:b/>
                <w:sz w:val="24"/>
              </w:rPr>
              <w:t>货物名称</w:t>
            </w:r>
          </w:p>
        </w:tc>
        <w:tc>
          <w:tcPr>
            <w:tcW w:w="5208" w:type="dxa"/>
            <w:vAlign w:val="center"/>
          </w:tcPr>
          <w:p>
            <w:pPr>
              <w:spacing w:line="240" w:lineRule="atLeast"/>
              <w:jc w:val="center"/>
              <w:rPr>
                <w:b/>
                <w:sz w:val="24"/>
              </w:rPr>
            </w:pPr>
            <w:r>
              <w:rPr>
                <w:rFonts w:hint="eastAsia"/>
                <w:b/>
                <w:sz w:val="24"/>
              </w:rPr>
              <w:t>产品型号</w:t>
            </w:r>
          </w:p>
        </w:tc>
        <w:tc>
          <w:tcPr>
            <w:tcW w:w="1080" w:type="dxa"/>
            <w:vAlign w:val="center"/>
          </w:tcPr>
          <w:p>
            <w:pPr>
              <w:spacing w:line="240" w:lineRule="atLeast"/>
              <w:jc w:val="center"/>
              <w:rPr>
                <w:b/>
                <w:sz w:val="24"/>
              </w:rPr>
            </w:pPr>
            <w:r>
              <w:rPr>
                <w:rFonts w:hint="eastAsia"/>
                <w:b/>
                <w:sz w:val="24"/>
              </w:rPr>
              <w:t>单价</w:t>
            </w:r>
          </w:p>
        </w:tc>
        <w:tc>
          <w:tcPr>
            <w:tcW w:w="698" w:type="dxa"/>
            <w:vAlign w:val="center"/>
          </w:tcPr>
          <w:p>
            <w:pPr>
              <w:spacing w:line="240" w:lineRule="atLeast"/>
              <w:jc w:val="center"/>
              <w:rPr>
                <w:b/>
                <w:sz w:val="24"/>
              </w:rPr>
            </w:pPr>
            <w:r>
              <w:rPr>
                <w:rFonts w:hint="eastAsia"/>
                <w:b/>
                <w:sz w:val="24"/>
              </w:rPr>
              <w:t>数量</w:t>
            </w:r>
          </w:p>
        </w:tc>
        <w:tc>
          <w:tcPr>
            <w:tcW w:w="1260" w:type="dxa"/>
            <w:vAlign w:val="center"/>
          </w:tcPr>
          <w:p>
            <w:pPr>
              <w:spacing w:line="240" w:lineRule="atLeast"/>
              <w:jc w:val="center"/>
              <w:rPr>
                <w:b/>
                <w:sz w:val="24"/>
              </w:rPr>
            </w:pPr>
            <w:r>
              <w:rPr>
                <w:rFonts w:hint="eastAsia"/>
                <w:b/>
                <w:sz w:val="24"/>
              </w:rPr>
              <w:t>总价格（元）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560" w:type="dxa"/>
            <w:vAlign w:val="center"/>
          </w:tcPr>
          <w:p>
            <w:pPr>
              <w:spacing w:line="240" w:lineRule="atLeast"/>
              <w:jc w:val="center"/>
              <w:rPr>
                <w:rFonts w:ascii="微软雅黑" w:hAnsi="微软雅黑" w:eastAsia="微软雅黑"/>
                <w:szCs w:val="22"/>
              </w:rPr>
            </w:pPr>
            <w:r>
              <w:rPr>
                <w:rFonts w:hint="eastAsia" w:ascii="微软雅黑" w:hAnsi="微软雅黑" w:eastAsia="微软雅黑"/>
                <w:szCs w:val="22"/>
              </w:rPr>
              <w:t>服务器</w:t>
            </w:r>
          </w:p>
        </w:tc>
        <w:tc>
          <w:tcPr>
            <w:tcW w:w="5208" w:type="dxa"/>
            <w:vAlign w:val="center"/>
          </w:tcPr>
          <w:p>
            <w:pPr>
              <w:tabs>
                <w:tab w:val="left" w:pos="22"/>
              </w:tabs>
              <w:autoSpaceDE w:val="0"/>
              <w:autoSpaceDN w:val="0"/>
              <w:adjustRightInd w:val="0"/>
              <w:spacing w:line="240" w:lineRule="atLeast"/>
              <w:ind w:right="18"/>
              <w:jc w:val="center"/>
              <w:rPr>
                <w:rFonts w:ascii="微软雅黑" w:hAnsi="微软雅黑" w:eastAsia="微软雅黑"/>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560" w:type="dxa"/>
            <w:vAlign w:val="center"/>
          </w:tcPr>
          <w:p>
            <w:pPr>
              <w:spacing w:line="240" w:lineRule="atLeast"/>
              <w:jc w:val="center"/>
              <w:rPr>
                <w:rFonts w:ascii="微软雅黑" w:hAnsi="微软雅黑" w:eastAsia="微软雅黑"/>
                <w:szCs w:val="22"/>
              </w:rPr>
            </w:pPr>
            <w:r>
              <w:rPr>
                <w:rFonts w:hint="eastAsia" w:ascii="微软雅黑" w:hAnsi="微软雅黑" w:eastAsia="微软雅黑"/>
                <w:szCs w:val="22"/>
              </w:rPr>
              <w:t>NVIDIA授权</w:t>
            </w:r>
          </w:p>
        </w:tc>
        <w:tc>
          <w:tcPr>
            <w:tcW w:w="5208" w:type="dxa"/>
            <w:vAlign w:val="center"/>
          </w:tcPr>
          <w:p>
            <w:pPr>
              <w:tabs>
                <w:tab w:val="left" w:pos="22"/>
              </w:tabs>
              <w:autoSpaceDE w:val="0"/>
              <w:autoSpaceDN w:val="0"/>
              <w:adjustRightInd w:val="0"/>
              <w:spacing w:line="240" w:lineRule="atLeast"/>
              <w:ind w:left="20" w:leftChars="10" w:right="18"/>
              <w:jc w:val="center"/>
              <w:rPr>
                <w:rFonts w:ascii="微软雅黑" w:hAnsi="微软雅黑" w:eastAsia="微软雅黑"/>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60" w:type="dxa"/>
            <w:vAlign w:val="center"/>
          </w:tcPr>
          <w:p>
            <w:pPr>
              <w:spacing w:line="240" w:lineRule="atLeast"/>
              <w:jc w:val="center"/>
              <w:rPr>
                <w:rFonts w:ascii="微软雅黑" w:hAnsi="微软雅黑" w:eastAsia="微软雅黑"/>
                <w:szCs w:val="22"/>
              </w:rPr>
            </w:pPr>
            <w:r>
              <w:rPr>
                <w:rFonts w:hint="eastAsia" w:ascii="微软雅黑" w:hAnsi="微软雅黑" w:eastAsia="微软雅黑"/>
                <w:szCs w:val="22"/>
              </w:rPr>
              <w:t>NVIDIA服务</w:t>
            </w:r>
          </w:p>
        </w:tc>
        <w:tc>
          <w:tcPr>
            <w:tcW w:w="5208" w:type="dxa"/>
            <w:vAlign w:val="center"/>
          </w:tcPr>
          <w:p>
            <w:pPr>
              <w:tabs>
                <w:tab w:val="left" w:pos="22"/>
              </w:tabs>
              <w:autoSpaceDE w:val="0"/>
              <w:autoSpaceDN w:val="0"/>
              <w:adjustRightInd w:val="0"/>
              <w:spacing w:line="240" w:lineRule="atLeast"/>
              <w:ind w:left="20" w:leftChars="10" w:right="18"/>
              <w:jc w:val="center"/>
              <w:rPr>
                <w:rFonts w:ascii="微软雅黑" w:hAnsi="微软雅黑" w:eastAsia="微软雅黑"/>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60" w:type="dxa"/>
            <w:vAlign w:val="center"/>
          </w:tcPr>
          <w:p>
            <w:pPr>
              <w:spacing w:line="240" w:lineRule="atLeast"/>
              <w:jc w:val="center"/>
              <w:rPr>
                <w:rFonts w:ascii="微软雅黑" w:hAnsi="微软雅黑" w:eastAsia="微软雅黑"/>
                <w:szCs w:val="22"/>
              </w:rPr>
            </w:pPr>
            <w:r>
              <w:rPr>
                <w:rFonts w:hint="eastAsia" w:ascii="微软雅黑" w:hAnsi="微软雅黑" w:eastAsia="微软雅黑"/>
                <w:szCs w:val="22"/>
              </w:rPr>
              <w:t>交换机</w:t>
            </w:r>
          </w:p>
        </w:tc>
        <w:tc>
          <w:tcPr>
            <w:tcW w:w="5208" w:type="dxa"/>
            <w:vAlign w:val="center"/>
          </w:tcPr>
          <w:p>
            <w:pPr>
              <w:tabs>
                <w:tab w:val="left" w:pos="22"/>
              </w:tabs>
              <w:autoSpaceDE w:val="0"/>
              <w:autoSpaceDN w:val="0"/>
              <w:adjustRightInd w:val="0"/>
              <w:spacing w:line="240" w:lineRule="atLeast"/>
              <w:ind w:left="20" w:leftChars="10" w:right="18"/>
              <w:jc w:val="center"/>
              <w:rPr>
                <w:rFonts w:ascii="微软雅黑" w:hAnsi="微软雅黑" w:eastAsia="微软雅黑"/>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60" w:type="dxa"/>
            <w:vMerge w:val="restart"/>
            <w:vAlign w:val="center"/>
          </w:tcPr>
          <w:p>
            <w:pPr>
              <w:spacing w:line="240" w:lineRule="atLeast"/>
              <w:jc w:val="center"/>
              <w:rPr>
                <w:rFonts w:ascii="微软雅黑" w:hAnsi="微软雅黑" w:eastAsia="微软雅黑"/>
                <w:szCs w:val="22"/>
              </w:rPr>
            </w:pPr>
            <w:r>
              <w:rPr>
                <w:rFonts w:hint="eastAsia" w:ascii="微软雅黑" w:hAnsi="微软雅黑" w:eastAsia="微软雅黑"/>
                <w:szCs w:val="22"/>
              </w:rPr>
              <w:t>其他</w:t>
            </w:r>
          </w:p>
        </w:tc>
        <w:tc>
          <w:tcPr>
            <w:tcW w:w="5208" w:type="dxa"/>
            <w:vAlign w:val="center"/>
          </w:tcPr>
          <w:p>
            <w:pPr>
              <w:tabs>
                <w:tab w:val="left" w:pos="22"/>
              </w:tabs>
              <w:autoSpaceDE w:val="0"/>
              <w:autoSpaceDN w:val="0"/>
              <w:adjustRightInd w:val="0"/>
              <w:spacing w:line="240" w:lineRule="atLeast"/>
              <w:ind w:left="20" w:leftChars="10" w:right="18"/>
              <w:jc w:val="center"/>
              <w:rPr>
                <w:rFonts w:ascii="微软雅黑" w:hAnsi="微软雅黑" w:eastAsia="微软雅黑"/>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60" w:type="dxa"/>
            <w:vMerge w:val="continue"/>
            <w:vAlign w:val="center"/>
          </w:tcPr>
          <w:p>
            <w:pPr>
              <w:spacing w:line="240" w:lineRule="atLeast"/>
              <w:jc w:val="center"/>
              <w:rPr>
                <w:rFonts w:ascii="宋体" w:hAnsi="宋体"/>
                <w:bCs/>
                <w:color w:val="000000"/>
                <w:szCs w:val="21"/>
              </w:rPr>
            </w:pPr>
          </w:p>
        </w:tc>
        <w:tc>
          <w:tcPr>
            <w:tcW w:w="5208" w:type="dxa"/>
            <w:vAlign w:val="center"/>
          </w:tcPr>
          <w:p>
            <w:pPr>
              <w:tabs>
                <w:tab w:val="left" w:pos="22"/>
              </w:tabs>
              <w:autoSpaceDE w:val="0"/>
              <w:autoSpaceDN w:val="0"/>
              <w:adjustRightInd w:val="0"/>
              <w:spacing w:line="240" w:lineRule="atLeast"/>
              <w:ind w:left="20" w:leftChars="10" w:right="18"/>
              <w:jc w:val="center"/>
              <w:rPr>
                <w:rFonts w:ascii="微软雅黑" w:hAnsi="微软雅黑" w:eastAsia="微软雅黑" w:cs="MT Extra"/>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60" w:type="dxa"/>
            <w:vMerge w:val="continue"/>
            <w:vAlign w:val="center"/>
          </w:tcPr>
          <w:p>
            <w:pPr>
              <w:spacing w:line="240" w:lineRule="atLeast"/>
              <w:jc w:val="center"/>
              <w:rPr>
                <w:rFonts w:ascii="宋体" w:hAnsi="宋体"/>
                <w:bCs/>
                <w:color w:val="000000"/>
                <w:szCs w:val="21"/>
              </w:rPr>
            </w:pPr>
          </w:p>
        </w:tc>
        <w:tc>
          <w:tcPr>
            <w:tcW w:w="5208" w:type="dxa"/>
            <w:vAlign w:val="center"/>
          </w:tcPr>
          <w:p>
            <w:pPr>
              <w:tabs>
                <w:tab w:val="left" w:pos="22"/>
              </w:tabs>
              <w:autoSpaceDE w:val="0"/>
              <w:autoSpaceDN w:val="0"/>
              <w:adjustRightInd w:val="0"/>
              <w:spacing w:line="240" w:lineRule="atLeast"/>
              <w:ind w:left="20" w:leftChars="10" w:right="18"/>
              <w:jc w:val="center"/>
              <w:rPr>
                <w:rFonts w:ascii="微软雅黑" w:hAnsi="微软雅黑" w:eastAsia="微软雅黑" w:cs="MT Extra"/>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60" w:type="dxa"/>
            <w:vMerge w:val="continue"/>
            <w:vAlign w:val="center"/>
          </w:tcPr>
          <w:p>
            <w:pPr>
              <w:spacing w:line="240" w:lineRule="atLeast"/>
              <w:jc w:val="center"/>
              <w:rPr>
                <w:rFonts w:ascii="宋体" w:hAnsi="宋体"/>
                <w:bCs/>
                <w:color w:val="000000"/>
                <w:szCs w:val="21"/>
              </w:rPr>
            </w:pPr>
          </w:p>
        </w:tc>
        <w:tc>
          <w:tcPr>
            <w:tcW w:w="5208" w:type="dxa"/>
            <w:vAlign w:val="center"/>
          </w:tcPr>
          <w:p>
            <w:pPr>
              <w:tabs>
                <w:tab w:val="left" w:pos="22"/>
              </w:tabs>
              <w:autoSpaceDE w:val="0"/>
              <w:autoSpaceDN w:val="0"/>
              <w:adjustRightInd w:val="0"/>
              <w:spacing w:line="240" w:lineRule="atLeast"/>
              <w:ind w:left="20" w:leftChars="10" w:right="18"/>
              <w:jc w:val="center"/>
              <w:rPr>
                <w:rFonts w:ascii="微软雅黑" w:hAnsi="微软雅黑" w:eastAsia="微软雅黑" w:cs="MT Extra"/>
                <w:szCs w:val="22"/>
              </w:rPr>
            </w:pPr>
          </w:p>
        </w:tc>
        <w:tc>
          <w:tcPr>
            <w:tcW w:w="1080" w:type="dxa"/>
            <w:vAlign w:val="center"/>
          </w:tcPr>
          <w:p>
            <w:pPr>
              <w:spacing w:line="240" w:lineRule="atLeast"/>
              <w:jc w:val="center"/>
              <w:rPr>
                <w:rFonts w:ascii="宋体" w:hAnsi="宋体"/>
              </w:rPr>
            </w:pPr>
          </w:p>
        </w:tc>
        <w:tc>
          <w:tcPr>
            <w:tcW w:w="698" w:type="dxa"/>
            <w:vAlign w:val="center"/>
          </w:tcPr>
          <w:p>
            <w:pPr>
              <w:spacing w:line="240" w:lineRule="atLeast"/>
              <w:jc w:val="center"/>
              <w:rPr>
                <w:rFonts w:ascii="宋体" w:hAnsi="宋体"/>
              </w:rPr>
            </w:pPr>
          </w:p>
        </w:tc>
        <w:tc>
          <w:tcPr>
            <w:tcW w:w="1260"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46" w:type="dxa"/>
            <w:gridSpan w:val="4"/>
            <w:vAlign w:val="center"/>
          </w:tcPr>
          <w:p>
            <w:pPr>
              <w:spacing w:line="240" w:lineRule="atLeast"/>
              <w:jc w:val="center"/>
              <w:rPr>
                <w:rFonts w:ascii="宋体" w:hAnsi="宋体"/>
                <w:b/>
              </w:rPr>
            </w:pPr>
            <w:r>
              <w:rPr>
                <w:rFonts w:hint="eastAsia" w:ascii="宋体" w:hAnsi="宋体"/>
                <w:b/>
              </w:rPr>
              <w:t>合计</w:t>
            </w:r>
          </w:p>
        </w:tc>
        <w:tc>
          <w:tcPr>
            <w:tcW w:w="1260" w:type="dxa"/>
            <w:vAlign w:val="center"/>
          </w:tcPr>
          <w:p>
            <w:pPr>
              <w:spacing w:line="240" w:lineRule="atLeast"/>
              <w:jc w:val="center"/>
              <w:rPr>
                <w:rFonts w:ascii="宋体" w:hAnsi="宋体"/>
              </w:rPr>
            </w:pPr>
          </w:p>
        </w:tc>
      </w:tr>
    </w:tbl>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349250</wp:posOffset>
                </wp:positionV>
                <wp:extent cx="1713230" cy="635"/>
                <wp:effectExtent l="0" t="0" r="0" b="0"/>
                <wp:wrapNone/>
                <wp:docPr id="6" name="Line 62"/>
                <wp:cNvGraphicFramePr/>
                <a:graphic xmlns:a="http://schemas.openxmlformats.org/drawingml/2006/main">
                  <a:graphicData uri="http://schemas.microsoft.com/office/word/2010/wordprocessingShape">
                    <wps:wsp>
                      <wps:cNvCnPr/>
                      <wps:spPr>
                        <a:xfrm>
                          <a:off x="0" y="0"/>
                          <a:ext cx="1714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62" o:spid="_x0000_s1026" o:spt="20" style="position:absolute;left:0pt;margin-left:144pt;margin-top:27.5pt;height:0.05pt;width:134.9pt;z-index:251660288;mso-width-relative:page;mso-height-relative:page;" filled="f" stroked="t" coordsize="21600,21600" o:gfxdata="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tmRLrXAAAACQEAAA8AAAAAAAAA&#10;AQAgAAAAIgAAAGRycy9kb3ducmV2LnhtbFBLAQIUABQAAAAIAIdO4kA42LwG2QEAAN4DAAAOAAAA&#10;AAAAAAEAIAAAACYBAABkcnMvZTJvRG9jLnhtbFBLBQYAAAAABgAGAFkBAABxBQAAAAA=&#10;">
                <v:fill on="f" focussize="0,0"/>
                <v:stroke color="#000000" joinstyle="round"/>
                <v:imagedata o:title=""/>
                <o:lock v:ext="edit" aspectratio="f"/>
              </v:line>
            </w:pict>
          </mc:Fallback>
        </mc:AlternateContent>
      </w:r>
      <w:r>
        <w:rPr>
          <w:rFonts w:hint="eastAsia" w:asciiTheme="minorEastAsia" w:hAnsiTheme="minorEastAsia"/>
          <w:sz w:val="24"/>
        </w:rPr>
        <w:t>投标人代表签字（盖章） ：</w:t>
      </w:r>
    </w:p>
    <w:p>
      <w:pPr>
        <w:rPr>
          <w:rFonts w:asciiTheme="minorEastAsia" w:hAnsiTheme="minorEastAsia"/>
          <w:sz w:val="24"/>
        </w:rPr>
      </w:pPr>
    </w:p>
    <w:p>
      <w:pPr>
        <w:rPr>
          <w:rFonts w:asciiTheme="minorEastAsia" w:hAnsiTheme="minorEastAsia"/>
          <w:sz w:val="24"/>
        </w:rPr>
      </w:pPr>
      <w:bookmarkStart w:id="391" w:name="_Toc249329163"/>
      <w:bookmarkStart w:id="392" w:name="_Toc249329322"/>
      <w:bookmarkStart w:id="393" w:name="_Toc249321898"/>
      <w:bookmarkStart w:id="394" w:name="_Toc249266238"/>
      <w:r>
        <w:rPr>
          <w:rFonts w:asciiTheme="minorEastAsia" w:hAnsiTheme="minorEastAsia"/>
          <w:sz w:val="24"/>
        </w:rPr>
        <w:br w:type="page"/>
      </w:r>
    </w:p>
    <w:bookmarkEnd w:id="391"/>
    <w:bookmarkEnd w:id="392"/>
    <w:bookmarkEnd w:id="393"/>
    <w:bookmarkEnd w:id="394"/>
    <w:p>
      <w:pPr>
        <w:ind w:left="94" w:leftChars="47"/>
        <w:jc w:val="center"/>
        <w:rPr>
          <w:rFonts w:asciiTheme="minorEastAsia" w:hAnsiTheme="minorEastAsia"/>
          <w:b/>
          <w:sz w:val="30"/>
          <w:szCs w:val="30"/>
        </w:rPr>
      </w:pPr>
      <w:r>
        <w:rPr>
          <w:rFonts w:hint="eastAsia" w:asciiTheme="minorEastAsia" w:hAnsiTheme="minorEastAsia"/>
          <w:b/>
          <w:sz w:val="30"/>
          <w:szCs w:val="30"/>
        </w:rPr>
        <w:t>三、投标分项报价表</w:t>
      </w:r>
    </w:p>
    <w:p>
      <w:pPr>
        <w:rPr>
          <w:rFonts w:asciiTheme="minorEastAsia" w:hAnsiTheme="minorEastAsia"/>
          <w:sz w:val="24"/>
          <w:u w:val="single"/>
        </w:rPr>
      </w:pPr>
      <w:r>
        <w:rPr>
          <w:rFonts w:asciiTheme="minorEastAsia" w:hAnsiTheme="minorEastAsia"/>
          <w:sz w:val="24"/>
        </w:rPr>
        <w:t>分项名称：</w:t>
      </w:r>
      <w:r>
        <w:rPr>
          <w:rFonts w:asciiTheme="minorEastAsia" w:hAnsiTheme="minorEastAsia"/>
          <w:sz w:val="24"/>
          <w:u w:val="single"/>
        </w:rPr>
        <w:t xml:space="preserve"> </w:t>
      </w:r>
    </w:p>
    <w:tbl>
      <w:tblPr>
        <w:tblStyle w:val="3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94"/>
        <w:gridCol w:w="862"/>
        <w:gridCol w:w="785"/>
        <w:gridCol w:w="3374"/>
        <w:gridCol w:w="482"/>
        <w:gridCol w:w="518"/>
        <w:gridCol w:w="500"/>
        <w:gridCol w:w="830"/>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78" w:hRule="atLeast"/>
          <w:tblHeader/>
        </w:trPr>
        <w:tc>
          <w:tcPr>
            <w:tcW w:w="794"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序号</w:t>
            </w:r>
          </w:p>
        </w:tc>
        <w:tc>
          <w:tcPr>
            <w:tcW w:w="862"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名称</w:t>
            </w:r>
          </w:p>
        </w:tc>
        <w:tc>
          <w:tcPr>
            <w:tcW w:w="785"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规格型号</w:t>
            </w:r>
          </w:p>
        </w:tc>
        <w:tc>
          <w:tcPr>
            <w:tcW w:w="3374"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说明</w:t>
            </w:r>
          </w:p>
        </w:tc>
        <w:tc>
          <w:tcPr>
            <w:tcW w:w="482"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单位</w:t>
            </w:r>
          </w:p>
        </w:tc>
        <w:tc>
          <w:tcPr>
            <w:tcW w:w="518"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单价</w:t>
            </w:r>
          </w:p>
        </w:tc>
        <w:tc>
          <w:tcPr>
            <w:tcW w:w="500"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数量</w:t>
            </w:r>
          </w:p>
        </w:tc>
        <w:tc>
          <w:tcPr>
            <w:tcW w:w="830"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总价</w:t>
            </w:r>
          </w:p>
        </w:tc>
        <w:tc>
          <w:tcPr>
            <w:tcW w:w="871"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45" w:hRule="atLeast"/>
        </w:trPr>
        <w:tc>
          <w:tcPr>
            <w:tcW w:w="794" w:type="dxa"/>
            <w:vAlign w:val="center"/>
          </w:tcPr>
          <w:p>
            <w:pPr>
              <w:jc w:val="center"/>
              <w:rPr>
                <w:rFonts w:asciiTheme="minorEastAsia" w:hAnsiTheme="minorEastAsia"/>
                <w:kern w:val="2"/>
                <w:sz w:val="24"/>
                <w:szCs w:val="22"/>
              </w:rPr>
            </w:pPr>
          </w:p>
        </w:tc>
        <w:tc>
          <w:tcPr>
            <w:tcW w:w="862" w:type="dxa"/>
            <w:vAlign w:val="center"/>
          </w:tcPr>
          <w:p>
            <w:pPr>
              <w:jc w:val="center"/>
              <w:rPr>
                <w:rFonts w:asciiTheme="minorEastAsia" w:hAnsiTheme="minorEastAsia"/>
                <w:kern w:val="2"/>
                <w:sz w:val="24"/>
                <w:szCs w:val="22"/>
              </w:rPr>
            </w:pPr>
          </w:p>
        </w:tc>
        <w:tc>
          <w:tcPr>
            <w:tcW w:w="785" w:type="dxa"/>
            <w:vAlign w:val="center"/>
          </w:tcPr>
          <w:p>
            <w:pPr>
              <w:jc w:val="center"/>
              <w:rPr>
                <w:rFonts w:asciiTheme="minorEastAsia" w:hAnsiTheme="minorEastAsia"/>
                <w:kern w:val="2"/>
                <w:sz w:val="24"/>
                <w:szCs w:val="22"/>
              </w:rPr>
            </w:pPr>
          </w:p>
        </w:tc>
        <w:tc>
          <w:tcPr>
            <w:tcW w:w="3374" w:type="dxa"/>
            <w:vAlign w:val="center"/>
          </w:tcPr>
          <w:p>
            <w:pPr>
              <w:jc w:val="center"/>
              <w:rPr>
                <w:rFonts w:asciiTheme="minorEastAsia" w:hAnsiTheme="minorEastAsia"/>
                <w:kern w:val="2"/>
                <w:sz w:val="24"/>
                <w:szCs w:val="22"/>
              </w:rPr>
            </w:pPr>
          </w:p>
        </w:tc>
        <w:tc>
          <w:tcPr>
            <w:tcW w:w="482" w:type="dxa"/>
            <w:vAlign w:val="center"/>
          </w:tcPr>
          <w:p>
            <w:pPr>
              <w:jc w:val="center"/>
              <w:rPr>
                <w:rFonts w:asciiTheme="minorEastAsia" w:hAnsiTheme="minorEastAsia"/>
                <w:kern w:val="2"/>
                <w:sz w:val="24"/>
                <w:szCs w:val="22"/>
              </w:rPr>
            </w:pPr>
          </w:p>
        </w:tc>
        <w:tc>
          <w:tcPr>
            <w:tcW w:w="518" w:type="dxa"/>
            <w:vAlign w:val="center"/>
          </w:tcPr>
          <w:p>
            <w:pPr>
              <w:jc w:val="center"/>
              <w:rPr>
                <w:rFonts w:asciiTheme="minorEastAsia" w:hAnsiTheme="minorEastAsia"/>
                <w:kern w:val="2"/>
                <w:sz w:val="24"/>
                <w:szCs w:val="22"/>
              </w:rPr>
            </w:pPr>
          </w:p>
        </w:tc>
        <w:tc>
          <w:tcPr>
            <w:tcW w:w="500" w:type="dxa"/>
            <w:vAlign w:val="center"/>
          </w:tcPr>
          <w:p>
            <w:pPr>
              <w:jc w:val="center"/>
              <w:rPr>
                <w:rFonts w:asciiTheme="minorEastAsia" w:hAnsiTheme="minorEastAsia"/>
                <w:kern w:val="2"/>
                <w:sz w:val="24"/>
                <w:szCs w:val="22"/>
              </w:rPr>
            </w:pP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Pr>
        <w:tc>
          <w:tcPr>
            <w:tcW w:w="794" w:type="dxa"/>
            <w:vAlign w:val="center"/>
          </w:tcPr>
          <w:p>
            <w:pPr>
              <w:jc w:val="center"/>
              <w:rPr>
                <w:rFonts w:asciiTheme="minorEastAsia" w:hAnsiTheme="minorEastAsia"/>
                <w:kern w:val="2"/>
                <w:sz w:val="24"/>
                <w:szCs w:val="22"/>
              </w:rPr>
            </w:pPr>
          </w:p>
        </w:tc>
        <w:tc>
          <w:tcPr>
            <w:tcW w:w="862" w:type="dxa"/>
            <w:vAlign w:val="center"/>
          </w:tcPr>
          <w:p>
            <w:pPr>
              <w:jc w:val="center"/>
              <w:rPr>
                <w:rFonts w:asciiTheme="minorEastAsia" w:hAnsiTheme="minorEastAsia"/>
                <w:kern w:val="2"/>
                <w:sz w:val="24"/>
                <w:szCs w:val="22"/>
              </w:rPr>
            </w:pPr>
          </w:p>
        </w:tc>
        <w:tc>
          <w:tcPr>
            <w:tcW w:w="785" w:type="dxa"/>
            <w:vAlign w:val="center"/>
          </w:tcPr>
          <w:p>
            <w:pPr>
              <w:jc w:val="center"/>
              <w:rPr>
                <w:rFonts w:asciiTheme="minorEastAsia" w:hAnsiTheme="minorEastAsia"/>
                <w:kern w:val="2"/>
                <w:sz w:val="24"/>
                <w:szCs w:val="22"/>
              </w:rPr>
            </w:pPr>
          </w:p>
        </w:tc>
        <w:tc>
          <w:tcPr>
            <w:tcW w:w="3374" w:type="dxa"/>
            <w:vAlign w:val="center"/>
          </w:tcPr>
          <w:p>
            <w:pPr>
              <w:jc w:val="center"/>
              <w:rPr>
                <w:rFonts w:asciiTheme="minorEastAsia" w:hAnsiTheme="minorEastAsia"/>
                <w:kern w:val="2"/>
                <w:sz w:val="24"/>
                <w:szCs w:val="22"/>
              </w:rPr>
            </w:pPr>
          </w:p>
        </w:tc>
        <w:tc>
          <w:tcPr>
            <w:tcW w:w="482" w:type="dxa"/>
            <w:vAlign w:val="center"/>
          </w:tcPr>
          <w:p>
            <w:pPr>
              <w:jc w:val="center"/>
              <w:rPr>
                <w:rFonts w:asciiTheme="minorEastAsia" w:hAnsiTheme="minorEastAsia"/>
                <w:kern w:val="2"/>
                <w:sz w:val="24"/>
                <w:szCs w:val="22"/>
              </w:rPr>
            </w:pPr>
          </w:p>
        </w:tc>
        <w:tc>
          <w:tcPr>
            <w:tcW w:w="518" w:type="dxa"/>
            <w:vAlign w:val="center"/>
          </w:tcPr>
          <w:p>
            <w:pPr>
              <w:jc w:val="center"/>
              <w:rPr>
                <w:rFonts w:asciiTheme="minorEastAsia" w:hAnsiTheme="minorEastAsia"/>
                <w:kern w:val="2"/>
                <w:sz w:val="24"/>
                <w:szCs w:val="22"/>
              </w:rPr>
            </w:pPr>
          </w:p>
        </w:tc>
        <w:tc>
          <w:tcPr>
            <w:tcW w:w="500" w:type="dxa"/>
            <w:vAlign w:val="center"/>
          </w:tcPr>
          <w:p>
            <w:pPr>
              <w:jc w:val="center"/>
              <w:rPr>
                <w:rFonts w:asciiTheme="minorEastAsia" w:hAnsiTheme="minorEastAsia"/>
                <w:kern w:val="2"/>
                <w:sz w:val="24"/>
                <w:szCs w:val="22"/>
              </w:rPr>
            </w:pP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Pr>
        <w:tc>
          <w:tcPr>
            <w:tcW w:w="794" w:type="dxa"/>
            <w:vAlign w:val="center"/>
          </w:tcPr>
          <w:p>
            <w:pPr>
              <w:jc w:val="center"/>
              <w:rPr>
                <w:rFonts w:asciiTheme="minorEastAsia" w:hAnsiTheme="minorEastAsia"/>
                <w:kern w:val="2"/>
                <w:sz w:val="24"/>
                <w:szCs w:val="22"/>
              </w:rPr>
            </w:pPr>
          </w:p>
        </w:tc>
        <w:tc>
          <w:tcPr>
            <w:tcW w:w="862" w:type="dxa"/>
            <w:vAlign w:val="center"/>
          </w:tcPr>
          <w:p>
            <w:pPr>
              <w:jc w:val="center"/>
              <w:rPr>
                <w:rFonts w:asciiTheme="minorEastAsia" w:hAnsiTheme="minorEastAsia"/>
                <w:kern w:val="2"/>
                <w:sz w:val="24"/>
                <w:szCs w:val="22"/>
              </w:rPr>
            </w:pPr>
          </w:p>
        </w:tc>
        <w:tc>
          <w:tcPr>
            <w:tcW w:w="785" w:type="dxa"/>
            <w:vAlign w:val="center"/>
          </w:tcPr>
          <w:p>
            <w:pPr>
              <w:jc w:val="center"/>
              <w:rPr>
                <w:rFonts w:asciiTheme="minorEastAsia" w:hAnsiTheme="minorEastAsia"/>
                <w:kern w:val="2"/>
                <w:sz w:val="24"/>
                <w:szCs w:val="22"/>
              </w:rPr>
            </w:pPr>
          </w:p>
        </w:tc>
        <w:tc>
          <w:tcPr>
            <w:tcW w:w="3374" w:type="dxa"/>
            <w:vAlign w:val="center"/>
          </w:tcPr>
          <w:p>
            <w:pPr>
              <w:jc w:val="center"/>
              <w:rPr>
                <w:rFonts w:asciiTheme="minorEastAsia" w:hAnsiTheme="minorEastAsia"/>
                <w:kern w:val="2"/>
                <w:sz w:val="24"/>
                <w:szCs w:val="22"/>
              </w:rPr>
            </w:pPr>
          </w:p>
        </w:tc>
        <w:tc>
          <w:tcPr>
            <w:tcW w:w="482" w:type="dxa"/>
            <w:vAlign w:val="center"/>
          </w:tcPr>
          <w:p>
            <w:pPr>
              <w:jc w:val="center"/>
              <w:rPr>
                <w:rFonts w:asciiTheme="minorEastAsia" w:hAnsiTheme="minorEastAsia"/>
                <w:kern w:val="2"/>
                <w:sz w:val="24"/>
                <w:szCs w:val="22"/>
              </w:rPr>
            </w:pPr>
          </w:p>
        </w:tc>
        <w:tc>
          <w:tcPr>
            <w:tcW w:w="518" w:type="dxa"/>
            <w:vAlign w:val="center"/>
          </w:tcPr>
          <w:p>
            <w:pPr>
              <w:jc w:val="center"/>
              <w:rPr>
                <w:rFonts w:asciiTheme="minorEastAsia" w:hAnsiTheme="minorEastAsia"/>
                <w:kern w:val="2"/>
                <w:sz w:val="24"/>
                <w:szCs w:val="22"/>
              </w:rPr>
            </w:pPr>
          </w:p>
        </w:tc>
        <w:tc>
          <w:tcPr>
            <w:tcW w:w="500" w:type="dxa"/>
            <w:vAlign w:val="center"/>
          </w:tcPr>
          <w:p>
            <w:pPr>
              <w:jc w:val="center"/>
              <w:rPr>
                <w:rFonts w:asciiTheme="minorEastAsia" w:hAnsiTheme="minorEastAsia"/>
                <w:kern w:val="2"/>
                <w:sz w:val="24"/>
                <w:szCs w:val="22"/>
              </w:rPr>
            </w:pP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Pr>
        <w:tc>
          <w:tcPr>
            <w:tcW w:w="794" w:type="dxa"/>
            <w:vAlign w:val="center"/>
          </w:tcPr>
          <w:p>
            <w:pPr>
              <w:jc w:val="center"/>
              <w:rPr>
                <w:rFonts w:asciiTheme="minorEastAsia" w:hAnsiTheme="minorEastAsia"/>
                <w:kern w:val="2"/>
                <w:sz w:val="24"/>
                <w:szCs w:val="22"/>
              </w:rPr>
            </w:pPr>
          </w:p>
        </w:tc>
        <w:tc>
          <w:tcPr>
            <w:tcW w:w="862" w:type="dxa"/>
            <w:vAlign w:val="center"/>
          </w:tcPr>
          <w:p>
            <w:pPr>
              <w:jc w:val="center"/>
              <w:rPr>
                <w:rFonts w:asciiTheme="minorEastAsia" w:hAnsiTheme="minorEastAsia"/>
                <w:kern w:val="2"/>
                <w:sz w:val="24"/>
                <w:szCs w:val="22"/>
              </w:rPr>
            </w:pPr>
          </w:p>
        </w:tc>
        <w:tc>
          <w:tcPr>
            <w:tcW w:w="785" w:type="dxa"/>
            <w:vAlign w:val="center"/>
          </w:tcPr>
          <w:p>
            <w:pPr>
              <w:jc w:val="center"/>
              <w:rPr>
                <w:rFonts w:asciiTheme="minorEastAsia" w:hAnsiTheme="minorEastAsia"/>
                <w:kern w:val="2"/>
                <w:sz w:val="24"/>
                <w:szCs w:val="22"/>
              </w:rPr>
            </w:pPr>
          </w:p>
        </w:tc>
        <w:tc>
          <w:tcPr>
            <w:tcW w:w="3374" w:type="dxa"/>
            <w:vAlign w:val="center"/>
          </w:tcPr>
          <w:p>
            <w:pPr>
              <w:jc w:val="center"/>
              <w:rPr>
                <w:rFonts w:asciiTheme="minorEastAsia" w:hAnsiTheme="minorEastAsia"/>
                <w:kern w:val="2"/>
                <w:sz w:val="24"/>
                <w:szCs w:val="22"/>
              </w:rPr>
            </w:pPr>
          </w:p>
        </w:tc>
        <w:tc>
          <w:tcPr>
            <w:tcW w:w="482" w:type="dxa"/>
            <w:vAlign w:val="center"/>
          </w:tcPr>
          <w:p>
            <w:pPr>
              <w:jc w:val="center"/>
              <w:rPr>
                <w:rFonts w:asciiTheme="minorEastAsia" w:hAnsiTheme="minorEastAsia"/>
                <w:kern w:val="2"/>
                <w:sz w:val="24"/>
                <w:szCs w:val="22"/>
              </w:rPr>
            </w:pPr>
          </w:p>
        </w:tc>
        <w:tc>
          <w:tcPr>
            <w:tcW w:w="518" w:type="dxa"/>
            <w:vAlign w:val="center"/>
          </w:tcPr>
          <w:p>
            <w:pPr>
              <w:jc w:val="center"/>
              <w:rPr>
                <w:rFonts w:asciiTheme="minorEastAsia" w:hAnsiTheme="minorEastAsia"/>
                <w:kern w:val="2"/>
                <w:sz w:val="24"/>
                <w:szCs w:val="22"/>
              </w:rPr>
            </w:pPr>
          </w:p>
        </w:tc>
        <w:tc>
          <w:tcPr>
            <w:tcW w:w="500" w:type="dxa"/>
            <w:vAlign w:val="center"/>
          </w:tcPr>
          <w:p>
            <w:pPr>
              <w:jc w:val="center"/>
              <w:rPr>
                <w:rFonts w:asciiTheme="minorEastAsia" w:hAnsiTheme="minorEastAsia"/>
                <w:kern w:val="2"/>
                <w:sz w:val="24"/>
                <w:szCs w:val="22"/>
              </w:rPr>
            </w:pP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Pr>
        <w:tc>
          <w:tcPr>
            <w:tcW w:w="794" w:type="dxa"/>
            <w:vAlign w:val="center"/>
          </w:tcPr>
          <w:p>
            <w:pPr>
              <w:jc w:val="center"/>
              <w:rPr>
                <w:rFonts w:asciiTheme="minorEastAsia" w:hAnsiTheme="minorEastAsia"/>
                <w:kern w:val="2"/>
                <w:sz w:val="24"/>
                <w:szCs w:val="22"/>
              </w:rPr>
            </w:pPr>
          </w:p>
        </w:tc>
        <w:tc>
          <w:tcPr>
            <w:tcW w:w="862" w:type="dxa"/>
            <w:vAlign w:val="center"/>
          </w:tcPr>
          <w:p>
            <w:pPr>
              <w:jc w:val="center"/>
              <w:rPr>
                <w:rFonts w:asciiTheme="minorEastAsia" w:hAnsiTheme="minorEastAsia"/>
                <w:kern w:val="2"/>
                <w:sz w:val="24"/>
                <w:szCs w:val="22"/>
              </w:rPr>
            </w:pPr>
          </w:p>
        </w:tc>
        <w:tc>
          <w:tcPr>
            <w:tcW w:w="785" w:type="dxa"/>
            <w:vAlign w:val="center"/>
          </w:tcPr>
          <w:p>
            <w:pPr>
              <w:jc w:val="center"/>
              <w:rPr>
                <w:rFonts w:asciiTheme="minorEastAsia" w:hAnsiTheme="minorEastAsia"/>
                <w:kern w:val="2"/>
                <w:sz w:val="24"/>
                <w:szCs w:val="22"/>
              </w:rPr>
            </w:pPr>
          </w:p>
        </w:tc>
        <w:tc>
          <w:tcPr>
            <w:tcW w:w="3374" w:type="dxa"/>
            <w:vAlign w:val="center"/>
          </w:tcPr>
          <w:p>
            <w:pPr>
              <w:jc w:val="center"/>
              <w:rPr>
                <w:rFonts w:asciiTheme="minorEastAsia" w:hAnsiTheme="minorEastAsia"/>
                <w:kern w:val="2"/>
                <w:sz w:val="24"/>
                <w:szCs w:val="22"/>
              </w:rPr>
            </w:pPr>
          </w:p>
        </w:tc>
        <w:tc>
          <w:tcPr>
            <w:tcW w:w="482" w:type="dxa"/>
            <w:vAlign w:val="center"/>
          </w:tcPr>
          <w:p>
            <w:pPr>
              <w:jc w:val="center"/>
              <w:rPr>
                <w:rFonts w:asciiTheme="minorEastAsia" w:hAnsiTheme="minorEastAsia"/>
                <w:kern w:val="2"/>
                <w:sz w:val="24"/>
                <w:szCs w:val="22"/>
              </w:rPr>
            </w:pPr>
          </w:p>
        </w:tc>
        <w:tc>
          <w:tcPr>
            <w:tcW w:w="518" w:type="dxa"/>
            <w:vAlign w:val="center"/>
          </w:tcPr>
          <w:p>
            <w:pPr>
              <w:jc w:val="center"/>
              <w:rPr>
                <w:rFonts w:asciiTheme="minorEastAsia" w:hAnsiTheme="minorEastAsia"/>
                <w:kern w:val="2"/>
                <w:sz w:val="24"/>
                <w:szCs w:val="22"/>
              </w:rPr>
            </w:pPr>
          </w:p>
        </w:tc>
        <w:tc>
          <w:tcPr>
            <w:tcW w:w="500" w:type="dxa"/>
            <w:vAlign w:val="center"/>
          </w:tcPr>
          <w:p>
            <w:pPr>
              <w:jc w:val="center"/>
              <w:rPr>
                <w:rFonts w:asciiTheme="minorEastAsia" w:hAnsiTheme="minorEastAsia"/>
                <w:kern w:val="2"/>
                <w:sz w:val="24"/>
                <w:szCs w:val="22"/>
              </w:rPr>
            </w:pP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Pr>
        <w:tc>
          <w:tcPr>
            <w:tcW w:w="794" w:type="dxa"/>
            <w:vAlign w:val="center"/>
          </w:tcPr>
          <w:p>
            <w:pPr>
              <w:jc w:val="center"/>
              <w:rPr>
                <w:rFonts w:asciiTheme="minorEastAsia" w:hAnsiTheme="minorEastAsia"/>
                <w:kern w:val="2"/>
                <w:sz w:val="24"/>
                <w:szCs w:val="22"/>
              </w:rPr>
            </w:pPr>
          </w:p>
        </w:tc>
        <w:tc>
          <w:tcPr>
            <w:tcW w:w="862" w:type="dxa"/>
            <w:vAlign w:val="center"/>
          </w:tcPr>
          <w:p>
            <w:pPr>
              <w:jc w:val="center"/>
              <w:rPr>
                <w:rFonts w:asciiTheme="minorEastAsia" w:hAnsiTheme="minorEastAsia"/>
                <w:kern w:val="2"/>
                <w:sz w:val="24"/>
                <w:szCs w:val="22"/>
              </w:rPr>
            </w:pPr>
          </w:p>
        </w:tc>
        <w:tc>
          <w:tcPr>
            <w:tcW w:w="785" w:type="dxa"/>
            <w:vAlign w:val="center"/>
          </w:tcPr>
          <w:p>
            <w:pPr>
              <w:jc w:val="center"/>
              <w:rPr>
                <w:rFonts w:asciiTheme="minorEastAsia" w:hAnsiTheme="minorEastAsia"/>
                <w:kern w:val="2"/>
                <w:sz w:val="24"/>
                <w:szCs w:val="22"/>
              </w:rPr>
            </w:pPr>
          </w:p>
        </w:tc>
        <w:tc>
          <w:tcPr>
            <w:tcW w:w="3374" w:type="dxa"/>
            <w:vAlign w:val="center"/>
          </w:tcPr>
          <w:p>
            <w:pPr>
              <w:jc w:val="center"/>
              <w:rPr>
                <w:rFonts w:asciiTheme="minorEastAsia" w:hAnsiTheme="minorEastAsia"/>
                <w:kern w:val="2"/>
                <w:sz w:val="24"/>
                <w:szCs w:val="22"/>
              </w:rPr>
            </w:pPr>
          </w:p>
        </w:tc>
        <w:tc>
          <w:tcPr>
            <w:tcW w:w="482" w:type="dxa"/>
            <w:vAlign w:val="center"/>
          </w:tcPr>
          <w:p>
            <w:pPr>
              <w:jc w:val="center"/>
              <w:rPr>
                <w:rFonts w:asciiTheme="minorEastAsia" w:hAnsiTheme="minorEastAsia"/>
                <w:kern w:val="2"/>
                <w:sz w:val="24"/>
                <w:szCs w:val="22"/>
              </w:rPr>
            </w:pPr>
          </w:p>
        </w:tc>
        <w:tc>
          <w:tcPr>
            <w:tcW w:w="518" w:type="dxa"/>
            <w:vAlign w:val="center"/>
          </w:tcPr>
          <w:p>
            <w:pPr>
              <w:jc w:val="center"/>
              <w:rPr>
                <w:rFonts w:asciiTheme="minorEastAsia" w:hAnsiTheme="minorEastAsia"/>
                <w:kern w:val="2"/>
                <w:sz w:val="24"/>
                <w:szCs w:val="22"/>
              </w:rPr>
            </w:pPr>
          </w:p>
        </w:tc>
        <w:tc>
          <w:tcPr>
            <w:tcW w:w="500" w:type="dxa"/>
            <w:vAlign w:val="center"/>
          </w:tcPr>
          <w:p>
            <w:pPr>
              <w:jc w:val="center"/>
              <w:rPr>
                <w:rFonts w:asciiTheme="minorEastAsia" w:hAnsiTheme="minorEastAsia"/>
                <w:kern w:val="2"/>
                <w:sz w:val="24"/>
                <w:szCs w:val="22"/>
              </w:rPr>
            </w:pP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Pr>
        <w:tc>
          <w:tcPr>
            <w:tcW w:w="794" w:type="dxa"/>
            <w:vAlign w:val="center"/>
          </w:tcPr>
          <w:p>
            <w:pPr>
              <w:jc w:val="center"/>
              <w:rPr>
                <w:rFonts w:asciiTheme="minorEastAsia" w:hAnsiTheme="minorEastAsia"/>
                <w:kern w:val="2"/>
                <w:sz w:val="24"/>
                <w:szCs w:val="22"/>
              </w:rPr>
            </w:pPr>
          </w:p>
        </w:tc>
        <w:tc>
          <w:tcPr>
            <w:tcW w:w="862" w:type="dxa"/>
            <w:vAlign w:val="center"/>
          </w:tcPr>
          <w:p>
            <w:pPr>
              <w:jc w:val="center"/>
              <w:rPr>
                <w:rFonts w:asciiTheme="minorEastAsia" w:hAnsiTheme="minorEastAsia"/>
                <w:kern w:val="2"/>
                <w:sz w:val="24"/>
                <w:szCs w:val="22"/>
              </w:rPr>
            </w:pPr>
          </w:p>
        </w:tc>
        <w:tc>
          <w:tcPr>
            <w:tcW w:w="785" w:type="dxa"/>
            <w:vAlign w:val="center"/>
          </w:tcPr>
          <w:p>
            <w:pPr>
              <w:jc w:val="center"/>
              <w:rPr>
                <w:rFonts w:asciiTheme="minorEastAsia" w:hAnsiTheme="minorEastAsia"/>
                <w:kern w:val="2"/>
                <w:sz w:val="24"/>
                <w:szCs w:val="22"/>
              </w:rPr>
            </w:pPr>
          </w:p>
        </w:tc>
        <w:tc>
          <w:tcPr>
            <w:tcW w:w="3374" w:type="dxa"/>
            <w:vAlign w:val="center"/>
          </w:tcPr>
          <w:p>
            <w:pPr>
              <w:jc w:val="center"/>
              <w:rPr>
                <w:rFonts w:asciiTheme="minorEastAsia" w:hAnsiTheme="minorEastAsia"/>
                <w:kern w:val="2"/>
                <w:sz w:val="24"/>
                <w:szCs w:val="22"/>
              </w:rPr>
            </w:pPr>
          </w:p>
        </w:tc>
        <w:tc>
          <w:tcPr>
            <w:tcW w:w="482" w:type="dxa"/>
            <w:vAlign w:val="center"/>
          </w:tcPr>
          <w:p>
            <w:pPr>
              <w:jc w:val="center"/>
              <w:rPr>
                <w:rFonts w:asciiTheme="minorEastAsia" w:hAnsiTheme="minorEastAsia"/>
                <w:kern w:val="2"/>
                <w:sz w:val="24"/>
                <w:szCs w:val="22"/>
              </w:rPr>
            </w:pPr>
          </w:p>
        </w:tc>
        <w:tc>
          <w:tcPr>
            <w:tcW w:w="518" w:type="dxa"/>
            <w:vAlign w:val="center"/>
          </w:tcPr>
          <w:p>
            <w:pPr>
              <w:jc w:val="center"/>
              <w:rPr>
                <w:rFonts w:asciiTheme="minorEastAsia" w:hAnsiTheme="minorEastAsia"/>
                <w:kern w:val="2"/>
                <w:sz w:val="24"/>
                <w:szCs w:val="22"/>
              </w:rPr>
            </w:pPr>
          </w:p>
        </w:tc>
        <w:tc>
          <w:tcPr>
            <w:tcW w:w="500" w:type="dxa"/>
            <w:vAlign w:val="center"/>
          </w:tcPr>
          <w:p>
            <w:pPr>
              <w:jc w:val="center"/>
              <w:rPr>
                <w:rFonts w:asciiTheme="minorEastAsia" w:hAnsiTheme="minorEastAsia"/>
                <w:kern w:val="2"/>
                <w:sz w:val="24"/>
                <w:szCs w:val="22"/>
              </w:rPr>
            </w:pP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Pr>
        <w:tc>
          <w:tcPr>
            <w:tcW w:w="7315" w:type="dxa"/>
            <w:gridSpan w:val="7"/>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合计</w:t>
            </w:r>
          </w:p>
        </w:tc>
        <w:tc>
          <w:tcPr>
            <w:tcW w:w="830" w:type="dxa"/>
            <w:vAlign w:val="center"/>
          </w:tcPr>
          <w:p>
            <w:pPr>
              <w:jc w:val="center"/>
              <w:rPr>
                <w:rFonts w:asciiTheme="minorEastAsia" w:hAnsiTheme="minorEastAsia"/>
                <w:kern w:val="2"/>
                <w:sz w:val="24"/>
                <w:szCs w:val="22"/>
              </w:rPr>
            </w:pPr>
          </w:p>
        </w:tc>
        <w:tc>
          <w:tcPr>
            <w:tcW w:w="871" w:type="dxa"/>
            <w:vAlign w:val="center"/>
          </w:tcPr>
          <w:p>
            <w:pPr>
              <w:jc w:val="center"/>
              <w:rPr>
                <w:rFonts w:asciiTheme="minorEastAsia" w:hAnsiTheme="minorEastAsia"/>
                <w:kern w:val="2"/>
                <w:sz w:val="24"/>
                <w:szCs w:val="22"/>
              </w:rPr>
            </w:pPr>
          </w:p>
        </w:tc>
      </w:tr>
    </w:tbl>
    <w:p>
      <w:pPr>
        <w:ind w:left="94" w:leftChars="47"/>
        <w:rPr>
          <w:rFonts w:asciiTheme="minorEastAsia" w:hAnsiTheme="minorEastAsia"/>
          <w:b/>
          <w:sz w:val="30"/>
          <w:szCs w:val="30"/>
        </w:rPr>
      </w:pPr>
    </w:p>
    <w:p>
      <w:pPr>
        <w:rPr>
          <w:rFonts w:asciiTheme="minorEastAsia" w:hAnsiTheme="minorEastAsia"/>
          <w:sz w:val="24"/>
        </w:rPr>
      </w:pPr>
      <w:r>
        <w:rPr>
          <w:rFonts w:hint="eastAsia" w:asciiTheme="minorEastAsia" w:hAnsiTheme="minorEastAsia"/>
          <w:sz w:val="24"/>
        </w:rPr>
        <w:t xml:space="preserve">投标方名称：（盖章）         </w:t>
      </w:r>
    </w:p>
    <w:p>
      <w:pPr>
        <w:rPr>
          <w:rFonts w:asciiTheme="minorEastAsia" w:hAnsiTheme="minorEastAsia"/>
          <w:sz w:val="24"/>
        </w:rPr>
      </w:pPr>
      <w:r>
        <w:rPr>
          <w:rFonts w:hint="eastAsia" w:asciiTheme="minorEastAsia" w:hAnsiTheme="minorEastAsia"/>
          <w:sz w:val="24"/>
        </w:rPr>
        <w:t xml:space="preserve">投标人代表签字：    </w:t>
      </w:r>
      <w:r>
        <w:rPr>
          <w:rFonts w:asciiTheme="minorEastAsia" w:hAnsiTheme="minorEastAsia"/>
          <w:sz w:val="24"/>
        </w:rPr>
        <w:t xml:space="preserve">       </w:t>
      </w:r>
      <w:r>
        <w:rPr>
          <w:rFonts w:hint="eastAsia" w:asciiTheme="minorEastAsia" w:hAnsiTheme="minorEastAsia"/>
          <w:sz w:val="24"/>
        </w:rPr>
        <w:t xml:space="preserve">   </w:t>
      </w:r>
      <w:r>
        <w:rPr>
          <w:rFonts w:asciiTheme="minorEastAsia" w:hAnsiTheme="minorEastAsia"/>
          <w:sz w:val="24"/>
        </w:rPr>
        <w:t xml:space="preserve">                         </w:t>
      </w:r>
      <w:r>
        <w:rPr>
          <w:rFonts w:hint="eastAsia" w:asciiTheme="minorEastAsia" w:hAnsiTheme="minorEastAsia"/>
          <w:sz w:val="24"/>
        </w:rPr>
        <w:t>年   月   日</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注：1、如果按单价计算的结果与总价不一致，以单价为准修正总价。</w:t>
      </w:r>
    </w:p>
    <w:p>
      <w:pPr>
        <w:ind w:firstLine="480" w:firstLineChars="200"/>
        <w:rPr>
          <w:rFonts w:asciiTheme="minorEastAsia" w:hAnsiTheme="minorEastAsia"/>
          <w:sz w:val="24"/>
        </w:rPr>
      </w:pPr>
      <w:r>
        <w:rPr>
          <w:rFonts w:hint="eastAsia" w:asciiTheme="minorEastAsia" w:hAnsiTheme="minorEastAsia"/>
          <w:sz w:val="24"/>
        </w:rPr>
        <w:t>2、如果不提供详细分项报价将视为没有实质性响应招标文件。</w:t>
      </w:r>
      <w:bookmarkStart w:id="395" w:name="_Toc249329323"/>
      <w:bookmarkStart w:id="396" w:name="_Toc249329164"/>
      <w:bookmarkStart w:id="397" w:name="_Toc249321899"/>
      <w:bookmarkStart w:id="398" w:name="_Toc249266239"/>
    </w:p>
    <w:p>
      <w:pPr>
        <w:ind w:firstLine="480" w:firstLineChars="200"/>
        <w:rPr>
          <w:rFonts w:asciiTheme="minorEastAsia" w:hAnsiTheme="minorEastAsia"/>
          <w:sz w:val="24"/>
        </w:rPr>
      </w:pPr>
      <w:r>
        <w:rPr>
          <w:rFonts w:hint="eastAsia" w:asciiTheme="minorEastAsia" w:hAnsiTheme="minorEastAsia"/>
          <w:sz w:val="24"/>
        </w:rPr>
        <w:t>3、招标人的分项报价表格式仅供参考，投标人可以按照工程施工的分项报价表格式提供详细分项报价。</w:t>
      </w:r>
    </w:p>
    <w:p>
      <w:pPr>
        <w:ind w:left="900"/>
        <w:rPr>
          <w:rFonts w:asciiTheme="minorEastAsia" w:hAnsiTheme="minorEastAsia"/>
          <w:sz w:val="24"/>
        </w:rPr>
      </w:pPr>
    </w:p>
    <w:bookmarkEnd w:id="395"/>
    <w:bookmarkEnd w:id="396"/>
    <w:bookmarkEnd w:id="397"/>
    <w:bookmarkEnd w:id="398"/>
    <w:p>
      <w:pPr>
        <w:ind w:firstLine="480"/>
        <w:jc w:val="center"/>
        <w:rPr>
          <w:rFonts w:asciiTheme="minorEastAsia" w:hAnsiTheme="minorEastAsia"/>
          <w:b/>
          <w:bCs/>
          <w:sz w:val="32"/>
          <w:szCs w:val="32"/>
        </w:rPr>
      </w:pPr>
    </w:p>
    <w:p>
      <w:pPr>
        <w:ind w:firstLine="480"/>
        <w:jc w:val="center"/>
        <w:rPr>
          <w:rFonts w:asciiTheme="minorEastAsia" w:hAnsiTheme="minorEastAsia"/>
          <w:b/>
          <w:bCs/>
          <w:sz w:val="32"/>
          <w:szCs w:val="32"/>
        </w:rPr>
      </w:pPr>
    </w:p>
    <w:p>
      <w:pPr>
        <w:ind w:firstLine="480"/>
        <w:jc w:val="center"/>
        <w:rPr>
          <w:rFonts w:asciiTheme="minorEastAsia" w:hAnsiTheme="minorEastAsia"/>
          <w:b/>
          <w:bCs/>
          <w:sz w:val="32"/>
        </w:rPr>
      </w:pPr>
      <w:r>
        <w:rPr>
          <w:rFonts w:hint="eastAsia" w:asciiTheme="minorEastAsia" w:hAnsiTheme="minorEastAsia"/>
          <w:b/>
          <w:bCs/>
          <w:sz w:val="32"/>
        </w:rPr>
        <w:t>四、商务条款偏离表</w:t>
      </w:r>
    </w:p>
    <w:p>
      <w:pPr>
        <w:ind w:firstLine="480"/>
        <w:rPr>
          <w:rFonts w:asciiTheme="minorEastAsia" w:hAnsiTheme="minorEastAsia"/>
          <w:sz w:val="24"/>
        </w:rPr>
      </w:pPr>
    </w:p>
    <w:tbl>
      <w:tblPr>
        <w:tblStyle w:val="34"/>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2160"/>
        <w:gridCol w:w="213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28"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序号</w:t>
            </w:r>
          </w:p>
        </w:tc>
        <w:tc>
          <w:tcPr>
            <w:tcW w:w="1980"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招标文件条目号</w:t>
            </w:r>
          </w:p>
        </w:tc>
        <w:tc>
          <w:tcPr>
            <w:tcW w:w="2160"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招标文件商务条款</w:t>
            </w:r>
          </w:p>
        </w:tc>
        <w:tc>
          <w:tcPr>
            <w:tcW w:w="2136"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投标文件商务条款</w:t>
            </w:r>
          </w:p>
        </w:tc>
        <w:tc>
          <w:tcPr>
            <w:tcW w:w="1284"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28" w:type="dxa"/>
          </w:tcPr>
          <w:p>
            <w:pPr>
              <w:rPr>
                <w:rFonts w:asciiTheme="minorEastAsia" w:hAnsiTheme="minorEastAsia"/>
                <w:kern w:val="2"/>
                <w:sz w:val="24"/>
                <w:szCs w:val="22"/>
              </w:rPr>
            </w:pPr>
          </w:p>
        </w:tc>
        <w:tc>
          <w:tcPr>
            <w:tcW w:w="1980" w:type="dxa"/>
          </w:tcPr>
          <w:p>
            <w:pPr>
              <w:rPr>
                <w:rFonts w:asciiTheme="minorEastAsia" w:hAnsiTheme="minorEastAsia"/>
                <w:kern w:val="2"/>
                <w:sz w:val="24"/>
                <w:szCs w:val="22"/>
              </w:rPr>
            </w:pPr>
          </w:p>
        </w:tc>
        <w:tc>
          <w:tcPr>
            <w:tcW w:w="2160" w:type="dxa"/>
          </w:tcPr>
          <w:p>
            <w:pPr>
              <w:rPr>
                <w:rFonts w:asciiTheme="minorEastAsia" w:hAnsiTheme="minorEastAsia"/>
                <w:kern w:val="2"/>
                <w:sz w:val="24"/>
                <w:szCs w:val="22"/>
              </w:rPr>
            </w:pPr>
          </w:p>
        </w:tc>
        <w:tc>
          <w:tcPr>
            <w:tcW w:w="2136" w:type="dxa"/>
          </w:tcPr>
          <w:p>
            <w:pPr>
              <w:rPr>
                <w:rFonts w:asciiTheme="minorEastAsia" w:hAnsiTheme="minorEastAsia"/>
                <w:kern w:val="2"/>
                <w:sz w:val="24"/>
                <w:szCs w:val="22"/>
              </w:rPr>
            </w:pPr>
          </w:p>
        </w:tc>
        <w:tc>
          <w:tcPr>
            <w:tcW w:w="1284" w:type="dxa"/>
          </w:tcPr>
          <w:p>
            <w:pPr>
              <w:rPr>
                <w:rFonts w:asciiTheme="minorEastAsia" w:hAnsiTheme="minorEastAsia"/>
                <w:kern w:val="2"/>
                <w:sz w:val="24"/>
                <w:szCs w:val="22"/>
              </w:rPr>
            </w:pPr>
          </w:p>
        </w:tc>
      </w:tr>
    </w:tbl>
    <w:p>
      <w:pPr>
        <w:rPr>
          <w:rFonts w:asciiTheme="minorEastAsia" w:hAnsiTheme="minorEastAsia"/>
          <w:sz w:val="24"/>
        </w:rPr>
      </w:pPr>
    </w:p>
    <w:p>
      <w:pPr>
        <w:rPr>
          <w:rFonts w:asciiTheme="minorEastAsia" w:hAnsiTheme="minorEastAsia"/>
          <w:sz w:val="24"/>
          <w:u w:val="single"/>
        </w:rPr>
      </w:pPr>
      <w:r>
        <w:rPr>
          <w:rFonts w:hint="eastAsia" w:asciiTheme="minorEastAsia" w:hAnsiTheme="minorEastAsia"/>
          <w:sz w:val="24"/>
        </w:rPr>
        <w:t xml:space="preserve">投标人名称：          </w:t>
      </w:r>
    </w:p>
    <w:p>
      <w:pPr>
        <w:ind w:left="480" w:hanging="480" w:hangingChars="200"/>
        <w:rPr>
          <w:rFonts w:asciiTheme="minorEastAsia" w:hAnsiTheme="minorEastAsia"/>
          <w:sz w:val="24"/>
        </w:rPr>
      </w:pPr>
      <w:r>
        <w:rPr>
          <w:rFonts w:hint="eastAsia" w:asciiTheme="minorEastAsia" w:hAnsiTheme="minorEastAsia"/>
          <w:sz w:val="24"/>
        </w:rPr>
        <w:t>投标人代表签字：</w:t>
      </w:r>
    </w:p>
    <w:p>
      <w:pPr>
        <w:rPr>
          <w:rFonts w:asciiTheme="minorEastAsia" w:hAnsiTheme="minorEastAsia"/>
          <w:sz w:val="24"/>
        </w:rPr>
      </w:pPr>
    </w:p>
    <w:p>
      <w:pPr>
        <w:ind w:left="480" w:hanging="480" w:hangingChars="200"/>
        <w:rPr>
          <w:rFonts w:asciiTheme="minorEastAsia" w:hAnsiTheme="minorEastAsia"/>
          <w:sz w:val="24"/>
        </w:rPr>
      </w:pPr>
      <w:r>
        <w:rPr>
          <w:rFonts w:hint="eastAsia" w:asciiTheme="minorEastAsia" w:hAnsiTheme="minorEastAsia"/>
          <w:sz w:val="24"/>
        </w:rPr>
        <w:br w:type="page"/>
      </w:r>
    </w:p>
    <w:p>
      <w:pPr>
        <w:jc w:val="center"/>
        <w:rPr>
          <w:rFonts w:asciiTheme="minorEastAsia" w:hAnsiTheme="minorEastAsia"/>
          <w:b/>
          <w:bCs/>
          <w:sz w:val="32"/>
          <w:szCs w:val="32"/>
        </w:rPr>
      </w:pPr>
      <w:bookmarkStart w:id="399" w:name="_Toc249329166"/>
      <w:bookmarkStart w:id="400" w:name="_Toc249266241"/>
      <w:bookmarkStart w:id="401" w:name="_Toc249329325"/>
      <w:bookmarkStart w:id="402" w:name="_Toc249321901"/>
      <w:r>
        <w:rPr>
          <w:rFonts w:asciiTheme="minorEastAsia" w:hAnsiTheme="minorEastAsia"/>
          <w:b/>
          <w:bCs/>
          <w:sz w:val="32"/>
          <w:szCs w:val="32"/>
        </w:rPr>
        <w:t>五、项目售后服务承诺书</w:t>
      </w:r>
    </w:p>
    <w:p>
      <w:pPr>
        <w:ind w:firstLine="480" w:firstLineChars="200"/>
        <w:rPr>
          <w:rFonts w:asciiTheme="minorEastAsia" w:hAnsiTheme="minorEastAsia"/>
          <w:bCs/>
          <w:sz w:val="24"/>
          <w:szCs w:val="24"/>
        </w:rPr>
      </w:pPr>
      <w:r>
        <w:rPr>
          <w:rFonts w:asciiTheme="minorEastAsia" w:hAnsiTheme="minorEastAsia"/>
          <w:bCs/>
          <w:sz w:val="24"/>
          <w:szCs w:val="24"/>
        </w:rPr>
        <w:t>格式及内容由各投标人根据情况自行填写</w:t>
      </w:r>
    </w:p>
    <w:p>
      <w:pPr>
        <w:rPr>
          <w:rFonts w:asciiTheme="minorEastAsia" w:hAnsiTheme="minorEastAsia"/>
          <w:b/>
          <w:bCs/>
          <w:sz w:val="32"/>
          <w:szCs w:val="32"/>
        </w:rPr>
      </w:pPr>
      <w:r>
        <w:rPr>
          <w:rFonts w:asciiTheme="minorEastAsia" w:hAnsiTheme="minorEastAsia"/>
          <w:b/>
          <w:bCs/>
          <w:sz w:val="32"/>
          <w:szCs w:val="32"/>
        </w:rPr>
        <w:br w:type="page"/>
      </w:r>
    </w:p>
    <w:bookmarkEnd w:id="399"/>
    <w:bookmarkEnd w:id="400"/>
    <w:bookmarkEnd w:id="401"/>
    <w:bookmarkEnd w:id="402"/>
    <w:p>
      <w:pPr>
        <w:rPr>
          <w:rFonts w:asciiTheme="minorEastAsia" w:hAnsiTheme="minorEastAsia"/>
          <w:b/>
          <w:sz w:val="30"/>
          <w:szCs w:val="30"/>
        </w:rPr>
      </w:pPr>
      <w:r>
        <w:rPr>
          <w:rFonts w:hint="eastAsia" w:asciiTheme="minorEastAsia" w:hAnsiTheme="minorEastAsia"/>
          <w:sz w:val="24"/>
        </w:rPr>
        <w:t xml:space="preserve">                                 </w:t>
      </w:r>
      <w:r>
        <w:rPr>
          <w:rFonts w:hint="eastAsia" w:asciiTheme="minorEastAsia" w:hAnsiTheme="minorEastAsia"/>
          <w:b/>
          <w:sz w:val="30"/>
          <w:szCs w:val="30"/>
        </w:rPr>
        <w:t>B、资质部分</w:t>
      </w:r>
    </w:p>
    <w:p>
      <w:pPr>
        <w:tabs>
          <w:tab w:val="left" w:pos="105"/>
        </w:tabs>
        <w:autoSpaceDE w:val="0"/>
        <w:autoSpaceDN w:val="0"/>
        <w:adjustRightInd w:val="0"/>
        <w:spacing w:afterLines="50"/>
        <w:jc w:val="center"/>
        <w:outlineLvl w:val="1"/>
        <w:rPr>
          <w:rFonts w:asciiTheme="minorEastAsia" w:hAnsiTheme="minorEastAsia"/>
          <w:b/>
          <w:sz w:val="30"/>
          <w:szCs w:val="30"/>
        </w:rPr>
      </w:pPr>
    </w:p>
    <w:p>
      <w:pPr>
        <w:tabs>
          <w:tab w:val="left" w:pos="105"/>
        </w:tabs>
        <w:autoSpaceDE w:val="0"/>
        <w:autoSpaceDN w:val="0"/>
        <w:adjustRightInd w:val="0"/>
        <w:spacing w:afterLines="50"/>
        <w:jc w:val="center"/>
        <w:outlineLvl w:val="1"/>
        <w:rPr>
          <w:b/>
          <w:bCs/>
          <w:color w:val="000000"/>
          <w:sz w:val="32"/>
          <w:szCs w:val="32"/>
        </w:rPr>
      </w:pPr>
      <w:r>
        <w:rPr>
          <w:rFonts w:asciiTheme="minorEastAsia" w:hAnsiTheme="minorEastAsia"/>
          <w:b/>
          <w:sz w:val="30"/>
          <w:szCs w:val="30"/>
        </w:rPr>
        <w:t>一</w:t>
      </w:r>
      <w:r>
        <w:rPr>
          <w:b/>
          <w:color w:val="000000"/>
          <w:sz w:val="32"/>
          <w:szCs w:val="32"/>
        </w:rPr>
        <w:t>、</w:t>
      </w:r>
      <w:r>
        <w:rPr>
          <w:b/>
          <w:bCs/>
          <w:color w:val="000000"/>
          <w:sz w:val="32"/>
          <w:szCs w:val="32"/>
        </w:rPr>
        <w:t>法定代表</w:t>
      </w:r>
      <w:r>
        <w:rPr>
          <w:rFonts w:hint="eastAsia"/>
          <w:b/>
          <w:bCs/>
          <w:color w:val="000000"/>
          <w:sz w:val="32"/>
          <w:szCs w:val="32"/>
        </w:rPr>
        <w:t>（负责）</w:t>
      </w:r>
      <w:r>
        <w:rPr>
          <w:b/>
          <w:bCs/>
          <w:color w:val="000000"/>
          <w:sz w:val="32"/>
          <w:szCs w:val="32"/>
        </w:rPr>
        <w:t>人资格证明书</w:t>
      </w:r>
    </w:p>
    <w:p>
      <w:pPr>
        <w:autoSpaceDE w:val="0"/>
        <w:autoSpaceDN w:val="0"/>
        <w:adjustRightInd w:val="0"/>
        <w:spacing w:line="480" w:lineRule="exact"/>
        <w:ind w:firstLine="624"/>
        <w:rPr>
          <w:bCs/>
          <w:color w:val="000000"/>
          <w:sz w:val="24"/>
        </w:rPr>
      </w:pPr>
    </w:p>
    <w:p>
      <w:pPr>
        <w:autoSpaceDE w:val="0"/>
        <w:autoSpaceDN w:val="0"/>
        <w:adjustRightInd w:val="0"/>
        <w:spacing w:line="480" w:lineRule="exact"/>
        <w:ind w:firstLine="624"/>
        <w:rPr>
          <w:bCs/>
          <w:color w:val="000000"/>
          <w:sz w:val="24"/>
          <w:u w:val="single"/>
        </w:rPr>
      </w:pPr>
      <w:r>
        <w:rPr>
          <w:bCs/>
          <w:color w:val="000000"/>
          <w:sz w:val="24"/>
        </w:rPr>
        <w:t>投标人名称：</w:t>
      </w:r>
      <w:r>
        <w:rPr>
          <w:bCs/>
          <w:color w:val="000000"/>
          <w:sz w:val="24"/>
          <w:u w:val="single"/>
        </w:rPr>
        <w:t xml:space="preserve">                                           </w:t>
      </w:r>
    </w:p>
    <w:p>
      <w:pPr>
        <w:spacing w:line="480" w:lineRule="exact"/>
        <w:ind w:firstLine="640" w:firstLineChars="250"/>
        <w:rPr>
          <w:bCs/>
          <w:color w:val="000000"/>
          <w:spacing w:val="8"/>
          <w:sz w:val="24"/>
          <w:u w:val="single"/>
        </w:rPr>
      </w:pPr>
      <w:r>
        <w:rPr>
          <w:bCs/>
          <w:color w:val="000000"/>
          <w:spacing w:val="8"/>
          <w:sz w:val="24"/>
        </w:rPr>
        <w:t>单位性质：</w:t>
      </w:r>
      <w:r>
        <w:rPr>
          <w:bCs/>
          <w:color w:val="000000"/>
          <w:spacing w:val="8"/>
          <w:sz w:val="24"/>
          <w:u w:val="single"/>
        </w:rPr>
        <w:t xml:space="preserve">                                       </w:t>
      </w:r>
    </w:p>
    <w:p>
      <w:pPr>
        <w:spacing w:line="480" w:lineRule="exact"/>
        <w:ind w:firstLine="640" w:firstLineChars="250"/>
        <w:rPr>
          <w:bCs/>
          <w:color w:val="000000"/>
          <w:spacing w:val="8"/>
          <w:sz w:val="24"/>
        </w:rPr>
      </w:pPr>
      <w:r>
        <w:rPr>
          <w:bCs/>
          <w:color w:val="000000"/>
          <w:spacing w:val="8"/>
          <w:sz w:val="24"/>
        </w:rPr>
        <w:t xml:space="preserve">成立时间： </w:t>
      </w:r>
      <w:r>
        <w:rPr>
          <w:bCs/>
          <w:color w:val="000000"/>
          <w:spacing w:val="8"/>
          <w:sz w:val="24"/>
          <w:u w:val="single"/>
        </w:rPr>
        <w:t xml:space="preserve">    </w:t>
      </w:r>
      <w:r>
        <w:rPr>
          <w:bCs/>
          <w:color w:val="000000"/>
          <w:spacing w:val="8"/>
          <w:sz w:val="24"/>
        </w:rPr>
        <w:t>年</w:t>
      </w:r>
      <w:r>
        <w:rPr>
          <w:bCs/>
          <w:color w:val="000000"/>
          <w:spacing w:val="8"/>
          <w:sz w:val="24"/>
          <w:u w:val="single"/>
        </w:rPr>
        <w:t xml:space="preserve">    </w:t>
      </w:r>
      <w:r>
        <w:rPr>
          <w:bCs/>
          <w:color w:val="000000"/>
          <w:spacing w:val="8"/>
          <w:sz w:val="24"/>
        </w:rPr>
        <w:t>月</w:t>
      </w:r>
      <w:r>
        <w:rPr>
          <w:bCs/>
          <w:color w:val="000000"/>
          <w:spacing w:val="8"/>
          <w:sz w:val="24"/>
          <w:u w:val="single"/>
        </w:rPr>
        <w:t xml:space="preserve">    </w:t>
      </w:r>
      <w:r>
        <w:rPr>
          <w:bCs/>
          <w:color w:val="000000"/>
          <w:spacing w:val="8"/>
          <w:sz w:val="24"/>
        </w:rPr>
        <w:t>日</w:t>
      </w:r>
    </w:p>
    <w:p>
      <w:pPr>
        <w:spacing w:line="480" w:lineRule="exact"/>
        <w:ind w:firstLine="624"/>
        <w:rPr>
          <w:bCs/>
          <w:color w:val="000000"/>
          <w:spacing w:val="8"/>
          <w:sz w:val="24"/>
        </w:rPr>
      </w:pPr>
      <w:r>
        <w:rPr>
          <w:bCs/>
          <w:color w:val="000000"/>
          <w:spacing w:val="8"/>
          <w:sz w:val="24"/>
        </w:rPr>
        <w:t>经营期限：</w:t>
      </w:r>
      <w:r>
        <w:rPr>
          <w:bCs/>
          <w:color w:val="000000"/>
          <w:spacing w:val="8"/>
          <w:sz w:val="24"/>
          <w:u w:val="single"/>
        </w:rPr>
        <w:t xml:space="preserve">                                       </w:t>
      </w:r>
    </w:p>
    <w:p>
      <w:pPr>
        <w:autoSpaceDE w:val="0"/>
        <w:autoSpaceDN w:val="0"/>
        <w:adjustRightInd w:val="0"/>
        <w:spacing w:line="480" w:lineRule="exact"/>
        <w:ind w:firstLine="624"/>
        <w:rPr>
          <w:bCs/>
          <w:color w:val="000000"/>
          <w:sz w:val="24"/>
          <w:u w:val="single"/>
        </w:rPr>
      </w:pPr>
      <w:r>
        <w:rPr>
          <w:bCs/>
          <w:color w:val="000000"/>
          <w:sz w:val="24"/>
        </w:rPr>
        <w:t>地址：</w:t>
      </w:r>
      <w:r>
        <w:rPr>
          <w:bCs/>
          <w:color w:val="000000"/>
          <w:sz w:val="24"/>
          <w:u w:val="single"/>
        </w:rPr>
        <w:t xml:space="preserve">                                                 </w:t>
      </w:r>
    </w:p>
    <w:p>
      <w:pPr>
        <w:autoSpaceDE w:val="0"/>
        <w:autoSpaceDN w:val="0"/>
        <w:adjustRightInd w:val="0"/>
        <w:spacing w:line="480" w:lineRule="exact"/>
        <w:ind w:firstLine="624"/>
        <w:rPr>
          <w:bCs/>
          <w:color w:val="000000"/>
          <w:sz w:val="24"/>
          <w:u w:val="single"/>
        </w:rPr>
      </w:pPr>
      <w:r>
        <w:rPr>
          <w:bCs/>
          <w:color w:val="000000"/>
          <w:sz w:val="24"/>
        </w:rPr>
        <w:t>姓名：</w:t>
      </w:r>
      <w:r>
        <w:rPr>
          <w:bCs/>
          <w:color w:val="000000"/>
          <w:sz w:val="24"/>
          <w:u w:val="single"/>
        </w:rPr>
        <w:t xml:space="preserve">     </w:t>
      </w:r>
      <w:r>
        <w:rPr>
          <w:bCs/>
          <w:color w:val="000000"/>
          <w:sz w:val="24"/>
        </w:rPr>
        <w:t xml:space="preserve"> 性别：</w:t>
      </w:r>
      <w:r>
        <w:rPr>
          <w:bCs/>
          <w:color w:val="000000"/>
          <w:sz w:val="24"/>
          <w:u w:val="single"/>
        </w:rPr>
        <w:t>　　　　</w:t>
      </w:r>
      <w:r>
        <w:rPr>
          <w:bCs/>
          <w:color w:val="000000"/>
          <w:sz w:val="24"/>
        </w:rPr>
        <w:t xml:space="preserve">  年龄：</w:t>
      </w:r>
      <w:r>
        <w:rPr>
          <w:bCs/>
          <w:color w:val="000000"/>
          <w:sz w:val="24"/>
          <w:u w:val="single"/>
        </w:rPr>
        <w:t>　　　</w:t>
      </w:r>
      <w:r>
        <w:rPr>
          <w:bCs/>
          <w:color w:val="000000"/>
          <w:sz w:val="24"/>
        </w:rPr>
        <w:t>　职务：</w:t>
      </w:r>
      <w:r>
        <w:rPr>
          <w:bCs/>
          <w:color w:val="000000"/>
          <w:sz w:val="24"/>
          <w:u w:val="single"/>
        </w:rPr>
        <w:t xml:space="preserve">          </w:t>
      </w:r>
      <w:r>
        <w:rPr>
          <w:bCs/>
          <w:color w:val="000000"/>
          <w:sz w:val="24"/>
        </w:rPr>
        <w:t xml:space="preserve">   </w:t>
      </w:r>
    </w:p>
    <w:p>
      <w:pPr>
        <w:autoSpaceDE w:val="0"/>
        <w:autoSpaceDN w:val="0"/>
        <w:adjustRightInd w:val="0"/>
        <w:spacing w:line="480" w:lineRule="exact"/>
        <w:ind w:firstLine="624"/>
        <w:rPr>
          <w:bCs/>
          <w:color w:val="000000"/>
          <w:sz w:val="24"/>
        </w:rPr>
      </w:pPr>
      <w:r>
        <w:rPr>
          <w:bCs/>
          <w:color w:val="000000"/>
          <w:sz w:val="24"/>
        </w:rPr>
        <w:t>系_______</w:t>
      </w:r>
      <w:r>
        <w:rPr>
          <w:bCs/>
          <w:color w:val="000000"/>
          <w:sz w:val="24"/>
          <w:u w:val="single"/>
        </w:rPr>
        <w:t>（投标人名称）</w:t>
      </w:r>
      <w:r>
        <w:rPr>
          <w:bCs/>
          <w:color w:val="000000"/>
          <w:sz w:val="24"/>
        </w:rPr>
        <w:t>__________的法定代表</w:t>
      </w:r>
      <w:r>
        <w:rPr>
          <w:rFonts w:hint="eastAsia"/>
          <w:bCs/>
          <w:color w:val="000000"/>
          <w:sz w:val="24"/>
        </w:rPr>
        <w:t>（负责）</w:t>
      </w:r>
      <w:r>
        <w:rPr>
          <w:bCs/>
          <w:color w:val="000000"/>
          <w:sz w:val="24"/>
        </w:rPr>
        <w:t>人。</w:t>
      </w:r>
    </w:p>
    <w:p>
      <w:pPr>
        <w:autoSpaceDE w:val="0"/>
        <w:autoSpaceDN w:val="0"/>
        <w:adjustRightInd w:val="0"/>
        <w:spacing w:line="480" w:lineRule="exact"/>
        <w:ind w:firstLine="400"/>
        <w:rPr>
          <w:bCs/>
          <w:color w:val="000000"/>
          <w:sz w:val="24"/>
        </w:rPr>
      </w:pPr>
    </w:p>
    <w:p>
      <w:pPr>
        <w:autoSpaceDE w:val="0"/>
        <w:autoSpaceDN w:val="0"/>
        <w:adjustRightInd w:val="0"/>
        <w:spacing w:line="480" w:lineRule="exact"/>
        <w:ind w:firstLine="624"/>
        <w:rPr>
          <w:bCs/>
          <w:color w:val="000000"/>
          <w:sz w:val="24"/>
        </w:rPr>
      </w:pPr>
      <w:r>
        <w:rPr>
          <w:bCs/>
          <w:color w:val="000000"/>
          <w:sz w:val="24"/>
        </w:rPr>
        <w:t>特此证明。</w:t>
      </w:r>
    </w:p>
    <w:p>
      <w:pPr>
        <w:autoSpaceDE w:val="0"/>
        <w:autoSpaceDN w:val="0"/>
        <w:adjustRightInd w:val="0"/>
        <w:spacing w:line="480" w:lineRule="exact"/>
        <w:ind w:firstLine="624"/>
        <w:rPr>
          <w:bCs/>
          <w:color w:val="000000"/>
          <w:sz w:val="24"/>
        </w:rPr>
      </w:pPr>
    </w:p>
    <w:p>
      <w:pPr>
        <w:autoSpaceDE w:val="0"/>
        <w:autoSpaceDN w:val="0"/>
        <w:adjustRightInd w:val="0"/>
        <w:spacing w:line="480" w:lineRule="exact"/>
        <w:ind w:firstLine="624"/>
        <w:rPr>
          <w:rFonts w:eastAsia="仿宋_GB2312"/>
          <w:bCs/>
          <w:color w:val="000000"/>
          <w:sz w:val="24"/>
        </w:rPr>
      </w:pPr>
    </w:p>
    <w:p>
      <w:pPr>
        <w:autoSpaceDE w:val="0"/>
        <w:autoSpaceDN w:val="0"/>
        <w:adjustRightInd w:val="0"/>
        <w:spacing w:line="480" w:lineRule="exact"/>
        <w:ind w:firstLine="624"/>
        <w:rPr>
          <w:bCs/>
          <w:color w:val="000000"/>
          <w:sz w:val="24"/>
        </w:rPr>
      </w:pPr>
      <w:r>
        <w:rPr>
          <w:bCs/>
          <w:color w:val="000000"/>
          <w:sz w:val="24"/>
        </w:rPr>
        <w:t>投标人：（公章）　　　</w:t>
      </w:r>
    </w:p>
    <w:p>
      <w:pPr>
        <w:autoSpaceDE w:val="0"/>
        <w:autoSpaceDN w:val="0"/>
        <w:adjustRightInd w:val="0"/>
        <w:spacing w:line="480" w:lineRule="exact"/>
        <w:ind w:firstLine="624"/>
        <w:rPr>
          <w:bCs/>
          <w:color w:val="000000"/>
          <w:sz w:val="24"/>
        </w:rPr>
      </w:pPr>
      <w:r>
        <w:rPr>
          <w:bCs/>
          <w:color w:val="000000"/>
          <w:sz w:val="24"/>
        </w:rPr>
        <w:t>日  期</w:t>
      </w:r>
      <w:r>
        <w:rPr>
          <w:bCs/>
          <w:color w:val="000000"/>
          <w:sz w:val="24"/>
          <w:u w:val="single"/>
        </w:rPr>
        <w:t xml:space="preserve">：    </w:t>
      </w:r>
      <w:r>
        <w:rPr>
          <w:bCs/>
          <w:color w:val="000000"/>
          <w:sz w:val="24"/>
        </w:rPr>
        <w:t>年</w:t>
      </w:r>
      <w:r>
        <w:rPr>
          <w:bCs/>
          <w:color w:val="000000"/>
          <w:sz w:val="24"/>
          <w:u w:val="single"/>
        </w:rPr>
        <w:t xml:space="preserve">    </w:t>
      </w:r>
      <w:r>
        <w:rPr>
          <w:bCs/>
          <w:color w:val="000000"/>
          <w:sz w:val="24"/>
        </w:rPr>
        <w:t>月</w:t>
      </w:r>
      <w:r>
        <w:rPr>
          <w:bCs/>
          <w:color w:val="000000"/>
          <w:sz w:val="24"/>
          <w:u w:val="single"/>
        </w:rPr>
        <w:t xml:space="preserve">    </w:t>
      </w:r>
      <w:r>
        <w:rPr>
          <w:bCs/>
          <w:color w:val="000000"/>
          <w:sz w:val="24"/>
        </w:rPr>
        <w:t>日</w:t>
      </w:r>
    </w:p>
    <w:p>
      <w:pPr>
        <w:autoSpaceDE w:val="0"/>
        <w:autoSpaceDN w:val="0"/>
        <w:adjustRightInd w:val="0"/>
        <w:spacing w:line="480" w:lineRule="exact"/>
        <w:ind w:firstLine="480"/>
        <w:rPr>
          <w:b/>
          <w:bCs/>
          <w:color w:val="000000"/>
          <w:sz w:val="24"/>
        </w:rPr>
      </w:pPr>
    </w:p>
    <w:p>
      <w:pPr>
        <w:rPr>
          <w:rFonts w:asciiTheme="minorEastAsia" w:hAnsiTheme="minorEastAsia"/>
          <w:b/>
          <w:sz w:val="30"/>
          <w:szCs w:val="30"/>
        </w:rPr>
      </w:pPr>
      <w:r>
        <w:rPr>
          <w:b/>
          <w:color w:val="000000"/>
          <w:spacing w:val="8"/>
          <w:sz w:val="32"/>
        </w:rPr>
        <w:br w:type="page"/>
      </w:r>
    </w:p>
    <w:p>
      <w:pPr>
        <w:rPr>
          <w:rFonts w:asciiTheme="minorEastAsia" w:hAnsiTheme="minorEastAsia"/>
          <w:b/>
          <w:sz w:val="30"/>
          <w:szCs w:val="30"/>
        </w:rPr>
      </w:pPr>
    </w:p>
    <w:p>
      <w:pPr>
        <w:jc w:val="center"/>
        <w:rPr>
          <w:rFonts w:asciiTheme="minorEastAsia" w:hAnsiTheme="minorEastAsia"/>
          <w:b/>
          <w:bCs/>
          <w:sz w:val="32"/>
        </w:rPr>
      </w:pPr>
      <w:r>
        <w:rPr>
          <w:rFonts w:hint="eastAsia" w:asciiTheme="minorEastAsia" w:hAnsiTheme="minorEastAsia"/>
          <w:b/>
          <w:bCs/>
          <w:sz w:val="32"/>
        </w:rPr>
        <w:t>二、法定代表人授权委托书</w:t>
      </w:r>
    </w:p>
    <w:p>
      <w:pPr>
        <w:rPr>
          <w:rFonts w:asciiTheme="minorEastAsia" w:hAnsiTheme="minorEastAsia"/>
          <w:sz w:val="24"/>
        </w:rPr>
      </w:pPr>
    </w:p>
    <w:p>
      <w:pPr>
        <w:spacing w:line="640" w:lineRule="exact"/>
        <w:ind w:firstLine="624"/>
        <w:rPr>
          <w:bCs/>
          <w:color w:val="000000"/>
          <w:spacing w:val="8"/>
          <w:sz w:val="24"/>
        </w:rPr>
      </w:pPr>
      <w:r>
        <w:rPr>
          <w:bCs/>
          <w:color w:val="000000"/>
          <w:spacing w:val="8"/>
          <w:sz w:val="24"/>
        </w:rPr>
        <w:t>本授权委托书声明：我</w:t>
      </w:r>
      <w:r>
        <w:rPr>
          <w:bCs/>
          <w:color w:val="000000"/>
          <w:spacing w:val="8"/>
          <w:sz w:val="24"/>
          <w:u w:val="single"/>
        </w:rPr>
        <w:t xml:space="preserve">  (姓名) </w:t>
      </w:r>
      <w:r>
        <w:rPr>
          <w:bCs/>
          <w:color w:val="000000"/>
          <w:spacing w:val="8"/>
          <w:sz w:val="24"/>
        </w:rPr>
        <w:t>系</w:t>
      </w:r>
      <w:r>
        <w:rPr>
          <w:bCs/>
          <w:color w:val="000000"/>
          <w:spacing w:val="8"/>
          <w:sz w:val="24"/>
          <w:u w:val="single"/>
        </w:rPr>
        <w:t xml:space="preserve">   (投标人名称)   </w:t>
      </w:r>
      <w:r>
        <w:rPr>
          <w:bCs/>
          <w:color w:val="000000"/>
          <w:spacing w:val="8"/>
          <w:sz w:val="24"/>
        </w:rPr>
        <w:t>的法定代表</w:t>
      </w:r>
      <w:r>
        <w:rPr>
          <w:rFonts w:hint="eastAsia"/>
          <w:bCs/>
          <w:color w:val="000000"/>
          <w:spacing w:val="8"/>
          <w:sz w:val="24"/>
        </w:rPr>
        <w:t>（负责）</w:t>
      </w:r>
      <w:r>
        <w:rPr>
          <w:bCs/>
          <w:color w:val="000000"/>
          <w:spacing w:val="8"/>
          <w:sz w:val="24"/>
        </w:rPr>
        <w:t>人，现授权委托</w:t>
      </w:r>
      <w:r>
        <w:rPr>
          <w:bCs/>
          <w:color w:val="000000"/>
          <w:spacing w:val="8"/>
          <w:sz w:val="24"/>
          <w:u w:val="single"/>
        </w:rPr>
        <w:t xml:space="preserve">  (单位名称) </w:t>
      </w:r>
      <w:r>
        <w:rPr>
          <w:bCs/>
          <w:color w:val="000000"/>
          <w:spacing w:val="8"/>
          <w:sz w:val="24"/>
        </w:rPr>
        <w:t xml:space="preserve"> 的 </w:t>
      </w:r>
      <w:r>
        <w:rPr>
          <w:bCs/>
          <w:color w:val="000000"/>
          <w:spacing w:val="8"/>
          <w:sz w:val="24"/>
          <w:u w:val="single"/>
        </w:rPr>
        <w:t xml:space="preserve"> (姓名)  </w:t>
      </w:r>
      <w:r>
        <w:rPr>
          <w:bCs/>
          <w:color w:val="000000"/>
          <w:spacing w:val="8"/>
          <w:sz w:val="24"/>
        </w:rPr>
        <w:t>为我公司签署</w:t>
      </w:r>
      <w:r>
        <w:rPr>
          <w:bCs/>
          <w:color w:val="000000"/>
          <w:spacing w:val="8"/>
          <w:sz w:val="24"/>
          <w:u w:val="single"/>
        </w:rPr>
        <w:t xml:space="preserve">        </w:t>
      </w:r>
      <w:r>
        <w:rPr>
          <w:bCs/>
          <w:color w:val="000000"/>
          <w:spacing w:val="8"/>
          <w:sz w:val="24"/>
        </w:rPr>
        <w:t>项目的投标文件的法定代表</w:t>
      </w:r>
      <w:r>
        <w:rPr>
          <w:rFonts w:hint="eastAsia"/>
          <w:bCs/>
          <w:color w:val="000000"/>
          <w:spacing w:val="8"/>
          <w:sz w:val="24"/>
        </w:rPr>
        <w:t>（负责）</w:t>
      </w:r>
      <w:r>
        <w:rPr>
          <w:bCs/>
          <w:color w:val="000000"/>
          <w:spacing w:val="8"/>
          <w:sz w:val="24"/>
        </w:rPr>
        <w:t>人授权委托代理人，我承认代理人全权代表我所签署的本项目的投标文件的内容。</w:t>
      </w:r>
    </w:p>
    <w:p>
      <w:pPr>
        <w:spacing w:line="640" w:lineRule="exact"/>
        <w:ind w:firstLine="624"/>
        <w:rPr>
          <w:bCs/>
          <w:color w:val="000000"/>
          <w:spacing w:val="8"/>
          <w:sz w:val="24"/>
        </w:rPr>
      </w:pPr>
      <w:r>
        <w:rPr>
          <w:bCs/>
          <w:color w:val="000000"/>
          <w:spacing w:val="8"/>
          <w:sz w:val="24"/>
        </w:rPr>
        <w:t xml:space="preserve">    </w:t>
      </w:r>
    </w:p>
    <w:p>
      <w:pPr>
        <w:spacing w:line="640" w:lineRule="exact"/>
        <w:ind w:firstLine="512" w:firstLineChars="200"/>
        <w:rPr>
          <w:bCs/>
          <w:color w:val="000000"/>
          <w:spacing w:val="8"/>
          <w:sz w:val="24"/>
        </w:rPr>
      </w:pPr>
      <w:r>
        <w:rPr>
          <w:bCs/>
          <w:color w:val="000000"/>
          <w:spacing w:val="8"/>
          <w:sz w:val="24"/>
        </w:rPr>
        <w:t>代理人无权转委托权，特此委托。</w:t>
      </w:r>
    </w:p>
    <w:p>
      <w:pPr>
        <w:spacing w:line="640" w:lineRule="exact"/>
        <w:ind w:firstLine="512" w:firstLineChars="200"/>
        <w:rPr>
          <w:bCs/>
          <w:color w:val="000000"/>
          <w:spacing w:val="8"/>
          <w:sz w:val="24"/>
        </w:rPr>
      </w:pPr>
    </w:p>
    <w:p>
      <w:pPr>
        <w:spacing w:line="640" w:lineRule="exact"/>
        <w:ind w:firstLine="512" w:firstLineChars="200"/>
        <w:rPr>
          <w:bCs/>
          <w:color w:val="000000"/>
          <w:spacing w:val="8"/>
          <w:sz w:val="24"/>
        </w:rPr>
      </w:pPr>
    </w:p>
    <w:p>
      <w:pPr>
        <w:spacing w:line="640" w:lineRule="exact"/>
        <w:ind w:firstLine="512" w:firstLineChars="200"/>
        <w:rPr>
          <w:bCs/>
          <w:color w:val="000000"/>
          <w:spacing w:val="8"/>
          <w:sz w:val="24"/>
        </w:rPr>
      </w:pPr>
    </w:p>
    <w:p>
      <w:pPr>
        <w:spacing w:line="500" w:lineRule="exact"/>
        <w:ind w:firstLine="512" w:firstLineChars="200"/>
        <w:rPr>
          <w:bCs/>
          <w:color w:val="000000"/>
          <w:spacing w:val="8"/>
          <w:sz w:val="24"/>
          <w:u w:val="single"/>
        </w:rPr>
      </w:pPr>
      <w:r>
        <w:rPr>
          <w:bCs/>
          <w:color w:val="000000"/>
          <w:spacing w:val="8"/>
          <w:sz w:val="24"/>
        </w:rPr>
        <w:t>代理人：</w:t>
      </w:r>
      <w:r>
        <w:rPr>
          <w:bCs/>
          <w:color w:val="000000"/>
          <w:spacing w:val="8"/>
          <w:sz w:val="24"/>
          <w:u w:val="single"/>
        </w:rPr>
        <w:t xml:space="preserve">          </w:t>
      </w:r>
      <w:r>
        <w:rPr>
          <w:bCs/>
          <w:color w:val="000000"/>
          <w:spacing w:val="8"/>
          <w:sz w:val="24"/>
        </w:rPr>
        <w:t xml:space="preserve"> 性别：</w:t>
      </w:r>
      <w:r>
        <w:rPr>
          <w:bCs/>
          <w:color w:val="000000"/>
          <w:spacing w:val="8"/>
          <w:sz w:val="24"/>
          <w:u w:val="single"/>
        </w:rPr>
        <w:t xml:space="preserve">        </w:t>
      </w:r>
      <w:r>
        <w:rPr>
          <w:bCs/>
          <w:color w:val="000000"/>
          <w:spacing w:val="8"/>
          <w:sz w:val="24"/>
        </w:rPr>
        <w:t>年龄：</w:t>
      </w:r>
      <w:r>
        <w:rPr>
          <w:bCs/>
          <w:color w:val="000000"/>
          <w:spacing w:val="8"/>
          <w:sz w:val="24"/>
          <w:u w:val="single"/>
        </w:rPr>
        <w:t xml:space="preserve">       </w:t>
      </w:r>
    </w:p>
    <w:p>
      <w:pPr>
        <w:spacing w:line="500" w:lineRule="exact"/>
        <w:ind w:firstLine="512" w:firstLineChars="200"/>
        <w:rPr>
          <w:bCs/>
          <w:color w:val="000000"/>
          <w:spacing w:val="8"/>
          <w:sz w:val="24"/>
        </w:rPr>
      </w:pPr>
      <w:r>
        <w:rPr>
          <w:bCs/>
          <w:color w:val="000000"/>
          <w:spacing w:val="8"/>
          <w:sz w:val="24"/>
        </w:rPr>
        <w:t>身份证号码：</w:t>
      </w:r>
      <w:r>
        <w:rPr>
          <w:bCs/>
          <w:color w:val="000000"/>
          <w:spacing w:val="8"/>
          <w:sz w:val="24"/>
          <w:u w:val="single"/>
        </w:rPr>
        <w:t xml:space="preserve">                    </w:t>
      </w:r>
      <w:r>
        <w:rPr>
          <w:bCs/>
          <w:color w:val="000000"/>
          <w:spacing w:val="8"/>
          <w:sz w:val="24"/>
        </w:rPr>
        <w:t xml:space="preserve"> 职务：</w:t>
      </w:r>
      <w:r>
        <w:rPr>
          <w:bCs/>
          <w:color w:val="000000"/>
          <w:spacing w:val="8"/>
          <w:sz w:val="24"/>
          <w:u w:val="single"/>
        </w:rPr>
        <w:t xml:space="preserve">       </w:t>
      </w:r>
    </w:p>
    <w:p>
      <w:pPr>
        <w:spacing w:line="500" w:lineRule="exact"/>
        <w:ind w:firstLine="512" w:firstLineChars="200"/>
        <w:rPr>
          <w:bCs/>
          <w:color w:val="000000"/>
          <w:spacing w:val="8"/>
          <w:sz w:val="24"/>
        </w:rPr>
      </w:pPr>
      <w:r>
        <w:rPr>
          <w:bCs/>
          <w:color w:val="000000"/>
          <w:spacing w:val="8"/>
          <w:sz w:val="24"/>
        </w:rPr>
        <w:t>投标人：</w:t>
      </w:r>
      <w:r>
        <w:rPr>
          <w:bCs/>
          <w:color w:val="000000"/>
          <w:spacing w:val="8"/>
          <w:sz w:val="24"/>
          <w:u w:val="single"/>
        </w:rPr>
        <w:t xml:space="preserve">                        (盖章)</w:t>
      </w:r>
      <w:r>
        <w:rPr>
          <w:bCs/>
          <w:color w:val="000000"/>
          <w:spacing w:val="8"/>
          <w:sz w:val="24"/>
        </w:rPr>
        <w:t xml:space="preserve"> </w:t>
      </w:r>
    </w:p>
    <w:p>
      <w:pPr>
        <w:spacing w:line="500" w:lineRule="exact"/>
        <w:ind w:firstLine="512" w:firstLineChars="200"/>
        <w:rPr>
          <w:bCs/>
          <w:color w:val="000000"/>
          <w:spacing w:val="8"/>
          <w:sz w:val="24"/>
        </w:rPr>
      </w:pPr>
      <w:r>
        <w:rPr>
          <w:bCs/>
          <w:color w:val="000000"/>
          <w:spacing w:val="8"/>
          <w:sz w:val="24"/>
        </w:rPr>
        <w:t>法定代表</w:t>
      </w:r>
      <w:r>
        <w:rPr>
          <w:rFonts w:hint="eastAsia"/>
          <w:bCs/>
          <w:color w:val="000000"/>
          <w:spacing w:val="8"/>
          <w:sz w:val="24"/>
        </w:rPr>
        <w:t>（负责）</w:t>
      </w:r>
      <w:r>
        <w:rPr>
          <w:bCs/>
          <w:color w:val="000000"/>
          <w:spacing w:val="8"/>
          <w:sz w:val="24"/>
        </w:rPr>
        <w:t>人：</w:t>
      </w:r>
      <w:r>
        <w:rPr>
          <w:bCs/>
          <w:color w:val="000000"/>
          <w:spacing w:val="8"/>
          <w:sz w:val="24"/>
          <w:u w:val="single"/>
        </w:rPr>
        <w:t xml:space="preserve">                  (签字或盖章)</w:t>
      </w:r>
    </w:p>
    <w:p>
      <w:pPr>
        <w:autoSpaceDE w:val="0"/>
        <w:autoSpaceDN w:val="0"/>
        <w:adjustRightInd w:val="0"/>
        <w:spacing w:line="500" w:lineRule="exact"/>
        <w:ind w:firstLine="512" w:firstLineChars="200"/>
        <w:rPr>
          <w:b/>
          <w:bCs/>
          <w:color w:val="000000"/>
          <w:sz w:val="24"/>
        </w:rPr>
      </w:pPr>
      <w:r>
        <w:rPr>
          <w:bCs/>
          <w:color w:val="000000"/>
          <w:spacing w:val="8"/>
          <w:sz w:val="24"/>
        </w:rPr>
        <w:t>授权委托日期：</w:t>
      </w:r>
      <w:r>
        <w:rPr>
          <w:bCs/>
          <w:color w:val="000000"/>
          <w:spacing w:val="8"/>
          <w:sz w:val="24"/>
          <w:u w:val="single"/>
        </w:rPr>
        <w:t xml:space="preserve">        </w:t>
      </w:r>
      <w:r>
        <w:rPr>
          <w:bCs/>
          <w:color w:val="000000"/>
          <w:spacing w:val="8"/>
          <w:sz w:val="24"/>
        </w:rPr>
        <w:t>年</w:t>
      </w:r>
      <w:r>
        <w:rPr>
          <w:bCs/>
          <w:color w:val="000000"/>
          <w:spacing w:val="8"/>
          <w:sz w:val="24"/>
          <w:u w:val="single"/>
        </w:rPr>
        <w:t xml:space="preserve">       </w:t>
      </w:r>
      <w:r>
        <w:rPr>
          <w:bCs/>
          <w:color w:val="000000"/>
          <w:spacing w:val="8"/>
          <w:sz w:val="24"/>
        </w:rPr>
        <w:t>月</w:t>
      </w:r>
      <w:r>
        <w:rPr>
          <w:bCs/>
          <w:color w:val="000000"/>
          <w:spacing w:val="8"/>
          <w:sz w:val="24"/>
          <w:u w:val="single"/>
        </w:rPr>
        <w:t xml:space="preserve">       </w:t>
      </w:r>
      <w:r>
        <w:rPr>
          <w:bCs/>
          <w:color w:val="000000"/>
          <w:spacing w:val="8"/>
          <w:sz w:val="24"/>
        </w:rPr>
        <w:t>日</w:t>
      </w:r>
    </w:p>
    <w:p>
      <w:pPr>
        <w:rPr>
          <w:rFonts w:asciiTheme="minorEastAsia" w:hAnsiTheme="minorEastAsia"/>
          <w:sz w:val="24"/>
        </w:rPr>
      </w:pPr>
      <w:r>
        <w:rPr>
          <w:rFonts w:asciiTheme="minorEastAsia" w:hAnsiTheme="minorEastAsia"/>
          <w:sz w:val="24"/>
        </w:rPr>
        <w:br w:type="page"/>
      </w:r>
    </w:p>
    <w:p>
      <w:pPr>
        <w:jc w:val="center"/>
        <w:rPr>
          <w:rFonts w:asciiTheme="minorEastAsia" w:hAnsiTheme="minorEastAsia"/>
          <w:b/>
          <w:bCs/>
          <w:sz w:val="32"/>
        </w:rPr>
      </w:pPr>
    </w:p>
    <w:p>
      <w:pPr>
        <w:jc w:val="center"/>
        <w:rPr>
          <w:rFonts w:ascii="Times New Roman" w:hAnsi="Times New Roman"/>
          <w:color w:val="000000"/>
        </w:rPr>
      </w:pPr>
      <w:r>
        <w:rPr>
          <w:rFonts w:hint="eastAsia" w:asciiTheme="minorEastAsia" w:hAnsiTheme="minorEastAsia"/>
          <w:b/>
          <w:bCs/>
          <w:sz w:val="32"/>
          <w:szCs w:val="32"/>
        </w:rPr>
        <w:t>三</w:t>
      </w:r>
      <w:r>
        <w:rPr>
          <w:rFonts w:hint="eastAsia" w:ascii="Times New Roman" w:hAnsi="Times New Roman"/>
          <w:b/>
          <w:color w:val="000000"/>
          <w:sz w:val="32"/>
          <w:szCs w:val="32"/>
        </w:rPr>
        <w:t>、</w:t>
      </w:r>
      <w:r>
        <w:rPr>
          <w:rFonts w:ascii="Times New Roman" w:hAnsi="Times New Roman"/>
          <w:b/>
          <w:color w:val="000000"/>
          <w:sz w:val="32"/>
          <w:szCs w:val="32"/>
        </w:rPr>
        <w:t>投标资质证明文件</w:t>
      </w:r>
    </w:p>
    <w:p>
      <w:pPr>
        <w:pStyle w:val="20"/>
        <w:spacing w:line="440" w:lineRule="exact"/>
        <w:ind w:firstLine="480" w:firstLineChars="200"/>
        <w:rPr>
          <w:rFonts w:asciiTheme="minorEastAsia" w:hAnsiTheme="minorEastAsia"/>
          <w:sz w:val="24"/>
        </w:rPr>
      </w:pPr>
      <w:r>
        <w:rPr>
          <w:rFonts w:ascii="Times New Roman" w:hAnsi="Times New Roman"/>
          <w:color w:val="000000"/>
        </w:rPr>
        <w:t>请投标企业按招标文件要求，提供全部资质证明文件。</w:t>
      </w:r>
      <w:bookmarkEnd w:id="387"/>
      <w:bookmarkEnd w:id="388"/>
      <w:bookmarkEnd w:id="389"/>
      <w:bookmarkEnd w:id="390"/>
    </w:p>
    <w:p>
      <w:pPr>
        <w:jc w:val="center"/>
        <w:rPr>
          <w:rFonts w:asciiTheme="minorEastAsia" w:hAnsiTheme="minorEastAsia"/>
          <w:b/>
          <w:sz w:val="28"/>
          <w:szCs w:val="28"/>
        </w:rPr>
      </w:pPr>
      <w:r>
        <w:rPr>
          <w:rFonts w:asciiTheme="minorEastAsia" w:hAnsiTheme="minorEastAsia"/>
          <w:b/>
          <w:sz w:val="28"/>
          <w:szCs w:val="28"/>
        </w:rPr>
        <w:t>C技术部分</w:t>
      </w:r>
    </w:p>
    <w:p>
      <w:pPr>
        <w:ind w:firstLine="480"/>
        <w:jc w:val="center"/>
        <w:rPr>
          <w:rFonts w:asciiTheme="minorEastAsia" w:hAnsiTheme="minorEastAsia"/>
          <w:b/>
          <w:bCs/>
          <w:sz w:val="32"/>
        </w:rPr>
      </w:pPr>
      <w:r>
        <w:rPr>
          <w:rFonts w:hint="eastAsia" w:asciiTheme="minorEastAsia" w:hAnsiTheme="minorEastAsia"/>
          <w:b/>
          <w:bCs/>
          <w:sz w:val="32"/>
        </w:rPr>
        <w:t>一、技术规格偏离表</w:t>
      </w:r>
    </w:p>
    <w:tbl>
      <w:tblPr>
        <w:tblStyle w:val="34"/>
        <w:tblW w:w="8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806"/>
        <w:gridCol w:w="1474"/>
        <w:gridCol w:w="788"/>
        <w:gridCol w:w="913"/>
        <w:gridCol w:w="1476"/>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序号</w:t>
            </w:r>
          </w:p>
        </w:tc>
        <w:tc>
          <w:tcPr>
            <w:tcW w:w="1806" w:type="dxa"/>
            <w:vAlign w:val="center"/>
          </w:tcPr>
          <w:p>
            <w:pPr>
              <w:jc w:val="center"/>
              <w:rPr>
                <w:rFonts w:asciiTheme="minorEastAsia" w:hAnsiTheme="minorEastAsia"/>
                <w:kern w:val="2"/>
                <w:sz w:val="24"/>
                <w:szCs w:val="22"/>
              </w:rPr>
            </w:pPr>
          </w:p>
        </w:tc>
        <w:tc>
          <w:tcPr>
            <w:tcW w:w="1474"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招标文件</w:t>
            </w:r>
          </w:p>
          <w:p>
            <w:pPr>
              <w:jc w:val="center"/>
              <w:rPr>
                <w:rFonts w:asciiTheme="minorEastAsia" w:hAnsiTheme="minorEastAsia"/>
                <w:kern w:val="2"/>
                <w:sz w:val="24"/>
                <w:szCs w:val="22"/>
              </w:rPr>
            </w:pPr>
            <w:r>
              <w:rPr>
                <w:rFonts w:hint="eastAsia" w:asciiTheme="minorEastAsia" w:hAnsiTheme="minorEastAsia"/>
                <w:kern w:val="2"/>
                <w:sz w:val="24"/>
                <w:szCs w:val="22"/>
              </w:rPr>
              <w:t>条目号</w:t>
            </w:r>
          </w:p>
        </w:tc>
        <w:tc>
          <w:tcPr>
            <w:tcW w:w="788"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招标规格</w:t>
            </w:r>
          </w:p>
        </w:tc>
        <w:tc>
          <w:tcPr>
            <w:tcW w:w="913"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投标规格</w:t>
            </w:r>
          </w:p>
        </w:tc>
        <w:tc>
          <w:tcPr>
            <w:tcW w:w="1476"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响应/偏离</w:t>
            </w:r>
          </w:p>
        </w:tc>
        <w:tc>
          <w:tcPr>
            <w:tcW w:w="1224" w:type="dxa"/>
            <w:vAlign w:val="center"/>
          </w:tcPr>
          <w:p>
            <w:pPr>
              <w:jc w:val="center"/>
              <w:rPr>
                <w:rFonts w:asciiTheme="minorEastAsia" w:hAnsiTheme="minorEastAsia"/>
                <w:kern w:val="2"/>
                <w:sz w:val="24"/>
                <w:szCs w:val="22"/>
              </w:rPr>
            </w:pPr>
            <w:r>
              <w:rPr>
                <w:rFonts w:hint="eastAsia" w:asciiTheme="minorEastAsia" w:hAnsiTheme="minorEastAsia"/>
                <w:kern w:val="2"/>
                <w:sz w:val="24"/>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dxa"/>
          </w:tcPr>
          <w:p>
            <w:pPr>
              <w:rPr>
                <w:rFonts w:asciiTheme="minorEastAsia" w:hAnsiTheme="minorEastAsia"/>
                <w:kern w:val="2"/>
                <w:sz w:val="24"/>
                <w:szCs w:val="22"/>
              </w:rPr>
            </w:pPr>
          </w:p>
        </w:tc>
        <w:tc>
          <w:tcPr>
            <w:tcW w:w="1806" w:type="dxa"/>
          </w:tcPr>
          <w:p>
            <w:pPr>
              <w:rPr>
                <w:rFonts w:asciiTheme="minorEastAsia" w:hAnsiTheme="minorEastAsia"/>
                <w:kern w:val="2"/>
                <w:sz w:val="24"/>
                <w:szCs w:val="22"/>
              </w:rPr>
            </w:pPr>
          </w:p>
        </w:tc>
        <w:tc>
          <w:tcPr>
            <w:tcW w:w="1474" w:type="dxa"/>
          </w:tcPr>
          <w:p>
            <w:pPr>
              <w:rPr>
                <w:rFonts w:asciiTheme="minorEastAsia" w:hAnsiTheme="minorEastAsia"/>
                <w:kern w:val="2"/>
                <w:sz w:val="24"/>
                <w:szCs w:val="22"/>
              </w:rPr>
            </w:pPr>
          </w:p>
        </w:tc>
        <w:tc>
          <w:tcPr>
            <w:tcW w:w="788" w:type="dxa"/>
          </w:tcPr>
          <w:p>
            <w:pPr>
              <w:rPr>
                <w:rFonts w:asciiTheme="minorEastAsia" w:hAnsiTheme="minorEastAsia"/>
                <w:kern w:val="2"/>
                <w:sz w:val="24"/>
                <w:szCs w:val="22"/>
              </w:rPr>
            </w:pPr>
          </w:p>
        </w:tc>
        <w:tc>
          <w:tcPr>
            <w:tcW w:w="913" w:type="dxa"/>
          </w:tcPr>
          <w:p>
            <w:pPr>
              <w:rPr>
                <w:rFonts w:asciiTheme="minorEastAsia" w:hAnsiTheme="minorEastAsia"/>
                <w:kern w:val="2"/>
                <w:sz w:val="24"/>
                <w:szCs w:val="22"/>
              </w:rPr>
            </w:pPr>
          </w:p>
        </w:tc>
        <w:tc>
          <w:tcPr>
            <w:tcW w:w="1476" w:type="dxa"/>
          </w:tcPr>
          <w:p>
            <w:pPr>
              <w:rPr>
                <w:rFonts w:asciiTheme="minorEastAsia" w:hAnsiTheme="minorEastAsia"/>
                <w:kern w:val="2"/>
                <w:sz w:val="24"/>
                <w:szCs w:val="22"/>
              </w:rPr>
            </w:pPr>
          </w:p>
        </w:tc>
        <w:tc>
          <w:tcPr>
            <w:tcW w:w="1224" w:type="dxa"/>
          </w:tcPr>
          <w:p>
            <w:pPr>
              <w:rPr>
                <w:rFonts w:asciiTheme="minorEastAsia" w:hAnsiTheme="minorEastAsia"/>
                <w:kern w:val="2"/>
                <w:sz w:val="24"/>
                <w:szCs w:val="22"/>
              </w:rPr>
            </w:pPr>
          </w:p>
        </w:tc>
      </w:tr>
    </w:tbl>
    <w:p>
      <w:pPr>
        <w:rPr>
          <w:rFonts w:asciiTheme="minorEastAsia" w:hAnsiTheme="minorEastAsia"/>
          <w:sz w:val="24"/>
        </w:rPr>
      </w:pPr>
      <w:r>
        <w:rPr>
          <w:rFonts w:hint="eastAsia" w:asciiTheme="minorEastAsia" w:hAnsiTheme="minorEastAsia"/>
          <w:sz w:val="24"/>
        </w:rPr>
        <w:t xml:space="preserve">投标人名称：          </w:t>
      </w:r>
    </w:p>
    <w:p>
      <w:pPr>
        <w:rPr>
          <w:rFonts w:asciiTheme="minorEastAsia" w:hAnsiTheme="minorEastAsia"/>
          <w:sz w:val="24"/>
        </w:rPr>
      </w:pPr>
      <w:r>
        <w:rPr>
          <w:rFonts w:hint="eastAsia" w:asciiTheme="minorEastAsia" w:hAnsiTheme="minorEastAsia"/>
          <w:sz w:val="24"/>
        </w:rPr>
        <w:t>投标人代表签字：                                          年   月   日</w:t>
      </w:r>
    </w:p>
    <w:p>
      <w:pPr>
        <w:rPr>
          <w:rFonts w:asciiTheme="minorEastAsia" w:hAnsiTheme="minorEastAsia"/>
          <w:sz w:val="24"/>
        </w:rPr>
      </w:pPr>
    </w:p>
    <w:p>
      <w:pPr>
        <w:ind w:left="480" w:hanging="480" w:hangingChars="200"/>
        <w:rPr>
          <w:rFonts w:asciiTheme="minorEastAsia" w:hAnsiTheme="minorEastAsia"/>
          <w:sz w:val="24"/>
        </w:rPr>
      </w:pPr>
      <w:r>
        <w:rPr>
          <w:rFonts w:hint="eastAsia" w:asciiTheme="minorEastAsia" w:hAnsiTheme="minorEastAsia"/>
          <w:sz w:val="24"/>
        </w:rPr>
        <w:t>注：投标人应对照招标文件技术规格，逐条说明所提供服务已对招标文件的技术规格做出了实质性响应，并申明与技术规格条文的偏差和例外。特别对有具体参数要求的指标，投标人必须提供所投设备的具体参数值。</w:t>
      </w:r>
    </w:p>
    <w:p>
      <w:pPr>
        <w:ind w:left="480" w:hanging="562" w:hangingChars="200"/>
        <w:rPr>
          <w:rFonts w:asciiTheme="minorEastAsia" w:hAnsiTheme="minorEastAsia"/>
          <w:b/>
          <w:sz w:val="28"/>
          <w:szCs w:val="28"/>
        </w:rPr>
      </w:pPr>
      <w:r>
        <w:rPr>
          <w:rFonts w:hint="eastAsia" w:asciiTheme="minorEastAsia" w:hAnsiTheme="minorEastAsia"/>
          <w:b/>
          <w:sz w:val="28"/>
          <w:szCs w:val="28"/>
        </w:rPr>
        <w:t>二、投标技术方案。</w:t>
      </w:r>
    </w:p>
    <w:p>
      <w:pPr>
        <w:rPr>
          <w:rFonts w:asciiTheme="minorEastAsia" w:hAnsiTheme="minorEastAsia"/>
          <w:b/>
          <w:sz w:val="28"/>
          <w:szCs w:val="28"/>
        </w:rPr>
      </w:pPr>
      <w:r>
        <w:rPr>
          <w:rFonts w:asciiTheme="minorEastAsia" w:hAnsiTheme="minorEastAsia"/>
          <w:b/>
          <w:sz w:val="28"/>
          <w:szCs w:val="28"/>
        </w:rPr>
        <w:t>三、投标产品主要技术性能介绍及优势、特性等。</w:t>
      </w:r>
    </w:p>
    <w:p>
      <w:pPr>
        <w:rPr>
          <w:rFonts w:asciiTheme="minorEastAsia" w:hAnsiTheme="minorEastAsia"/>
          <w:b/>
          <w:sz w:val="28"/>
          <w:szCs w:val="28"/>
        </w:rPr>
      </w:pPr>
      <w:r>
        <w:rPr>
          <w:rFonts w:asciiTheme="minorEastAsia" w:hAnsiTheme="minorEastAsia"/>
          <w:b/>
          <w:sz w:val="28"/>
          <w:szCs w:val="28"/>
        </w:rPr>
        <w:t>四、技术支持及售后服务方案。</w:t>
      </w:r>
    </w:p>
    <w:p>
      <w:pPr>
        <w:rPr>
          <w:rFonts w:asciiTheme="minorEastAsia" w:hAnsiTheme="minorEastAsia"/>
          <w:b/>
          <w:sz w:val="28"/>
          <w:szCs w:val="28"/>
        </w:rPr>
      </w:pPr>
      <w:r>
        <w:rPr>
          <w:rFonts w:asciiTheme="minorEastAsia" w:hAnsiTheme="minorEastAsia"/>
          <w:b/>
          <w:sz w:val="28"/>
          <w:szCs w:val="28"/>
        </w:rPr>
        <w:t>五、投标人认为有必要提供的其他资料。</w:t>
      </w:r>
    </w:p>
    <w:p>
      <w:pPr>
        <w:rPr>
          <w:rFonts w:asciiTheme="minorEastAsia" w:hAnsiTheme="minorEastAsia"/>
          <w:b/>
          <w:sz w:val="28"/>
          <w:szCs w:val="28"/>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tabs>
          <w:tab w:val="left" w:pos="3353"/>
        </w:tabs>
      </w:pPr>
    </w:p>
    <w:sectPr>
      <w:footerReference r:id="rId9" w:type="first"/>
      <w:headerReference r:id="rId7" w:type="default"/>
      <w:footerReference r:id="rId8" w:type="default"/>
      <w:pgSz w:w="11906" w:h="16838"/>
      <w:pgMar w:top="1304" w:right="1304" w:bottom="1304" w:left="1701"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T Extra">
    <w:panose1 w:val="05050102010205020202"/>
    <w:charset w:val="02"/>
    <w:family w:val="roman"/>
    <w:pitch w:val="default"/>
    <w:sig w:usb0="8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970308"/>
    </w:sdtPr>
    <w:sdtContent>
      <w:p>
        <w:pPr>
          <w:pStyle w:val="23"/>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360739"/>
    </w:sdtPr>
    <w:sdtContent>
      <w:p>
        <w:pPr>
          <w:pStyle w:val="23"/>
          <w:jc w:val="center"/>
        </w:pPr>
        <w:r>
          <w:fldChar w:fldCharType="begin"/>
        </w:r>
        <w:r>
          <w:instrText xml:space="preserve">PAGE   \* MERGEFORMAT</w:instrText>
        </w:r>
        <w:r>
          <w:fldChar w:fldCharType="separate"/>
        </w:r>
        <w:r>
          <w:rPr>
            <w:lang w:val="zh-CN"/>
          </w:rPr>
          <w:t>37</w:t>
        </w:r>
        <w:r>
          <w:rPr>
            <w:lang w:val="zh-CN"/>
          </w:rPr>
          <w:fldChar w:fldCharType="end"/>
        </w:r>
      </w:p>
    </w:sdtContent>
  </w:sdt>
  <w:p>
    <w:pPr>
      <w:pStyle w:val="23"/>
      <w:jc w:val="cen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776943"/>
    </w:sdtPr>
    <w:sdtEndPr>
      <w:rPr>
        <w:lang w:val="zh-CN"/>
      </w:rPr>
    </w:sdtEndPr>
    <w:sdtContent>
      <w:p>
        <w:pPr>
          <w:pStyle w:val="2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pBdr>
        <w:bottom w:val="single" w:color="auto" w:sz="6" w:space="0"/>
      </w:pBdr>
      <w:ind w:right="360"/>
      <w:jc w:val="both"/>
      <w:rPr>
        <w:rFonts w:ascii="宋体" w:hAnsi="宋体"/>
      </w:rPr>
    </w:pPr>
  </w:p>
  <w:p>
    <w:pPr>
      <w:pStyle w:val="105"/>
      <w:pBdr>
        <w:bottom w:val="single" w:color="auto" w:sz="6" w:space="0"/>
      </w:pBdr>
      <w:ind w:right="360"/>
      <w:rPr>
        <w:sz w:val="10"/>
        <w:szCs w:val="10"/>
      </w:rPr>
    </w:pPr>
    <w:r>
      <w:rPr>
        <w:rFonts w:hint="eastAsia" w:ascii="宋体" w:hAnsi="宋体"/>
      </w:rPr>
      <w:t>服务器以及相关硬件采购</w:t>
    </w:r>
    <w:r>
      <w:rPr>
        <w:rFonts w:ascii="宋体" w:hAnsi="宋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pBdr>
        <w:bottom w:val="single" w:color="auto" w:sz="6" w:space="0"/>
      </w:pBdr>
      <w:ind w:right="360"/>
      <w:rPr>
        <w:sz w:val="10"/>
        <w:szCs w:val="10"/>
      </w:rPr>
    </w:pPr>
    <w:r>
      <w:rPr>
        <w:rFonts w:hint="eastAsia" w:ascii="宋体" w:hAnsi="宋体"/>
      </w:rPr>
      <w:t>服务器以及相关硬件采购</w:t>
    </w:r>
    <w:r>
      <w:rPr>
        <w:rFonts w:ascii="宋体" w:hAnsi="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567"/>
        </w:tabs>
        <w:ind w:left="567" w:hanging="425"/>
      </w:pPr>
      <w:rPr>
        <w:rFonts w:hint="eastAsia"/>
        <w:i w:val="0"/>
      </w:rPr>
    </w:lvl>
    <w:lvl w:ilvl="1" w:tentative="0">
      <w:start w:val="1"/>
      <w:numFmt w:val="decimal"/>
      <w:lvlText w:val="%1.%2."/>
      <w:lvlJc w:val="left"/>
      <w:pPr>
        <w:tabs>
          <w:tab w:val="left" w:pos="567"/>
        </w:tabs>
        <w:ind w:left="567" w:hanging="567"/>
      </w:pPr>
      <w:rPr>
        <w:rFonts w:hint="eastAsia"/>
      </w:rPr>
    </w:lvl>
    <w:lvl w:ilvl="2" w:tentative="0">
      <w:start w:val="1"/>
      <w:numFmt w:val="decimal"/>
      <w:pStyle w:val="54"/>
      <w:lvlText w:val="%1.%2.%3."/>
      <w:lvlJc w:val="left"/>
      <w:pPr>
        <w:tabs>
          <w:tab w:val="left" w:pos="709"/>
        </w:tabs>
        <w:ind w:left="709" w:hanging="709"/>
      </w:pPr>
      <w:rPr>
        <w:rFonts w:hint="eastAsia"/>
      </w:rPr>
    </w:lvl>
    <w:lvl w:ilvl="3" w:tentative="0">
      <w:start w:val="1"/>
      <w:numFmt w:val="decimal"/>
      <w:pStyle w:val="5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12"/>
    <w:multiLevelType w:val="multilevel"/>
    <w:tmpl w:val="00000012"/>
    <w:lvl w:ilvl="0" w:tentative="0">
      <w:start w:val="4"/>
      <w:numFmt w:val="decimal"/>
      <w:lvlText w:val="%1"/>
      <w:lvlJc w:val="left"/>
      <w:pPr>
        <w:tabs>
          <w:tab w:val="left" w:pos="425"/>
        </w:tabs>
        <w:ind w:left="425" w:hanging="425"/>
      </w:pPr>
      <w:rPr>
        <w:rFonts w:hint="default" w:ascii="Arial" w:hAnsi="Arial"/>
        <w:sz w:val="24"/>
        <w:szCs w:val="24"/>
      </w:rPr>
    </w:lvl>
    <w:lvl w:ilvl="1" w:tentative="0">
      <w:start w:val="3"/>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00000013"/>
    <w:multiLevelType w:val="multilevel"/>
    <w:tmpl w:val="00000013"/>
    <w:lvl w:ilvl="0" w:tentative="0">
      <w:start w:val="1"/>
      <w:numFmt w:val="none"/>
      <w:lvlText w:val="2"/>
      <w:lvlJc w:val="left"/>
      <w:pPr>
        <w:tabs>
          <w:tab w:val="left" w:pos="425"/>
        </w:tabs>
        <w:ind w:left="425" w:hanging="425"/>
      </w:pPr>
      <w:rPr>
        <w:rFonts w:hint="eastAsia"/>
      </w:rPr>
    </w:lvl>
    <w:lvl w:ilvl="1" w:tentative="0">
      <w:start w:val="1"/>
      <w:numFmt w:val="decimal"/>
      <w:pStyle w:val="63"/>
      <w:lvlText w:val="2.%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15"/>
    <w:multiLevelType w:val="multilevel"/>
    <w:tmpl w:val="00000015"/>
    <w:lvl w:ilvl="0" w:tentative="0">
      <w:start w:val="3"/>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b w:val="0"/>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0000017"/>
    <w:multiLevelType w:val="singleLevel"/>
    <w:tmpl w:val="00000017"/>
    <w:lvl w:ilvl="0" w:tentative="0">
      <w:start w:val="1"/>
      <w:numFmt w:val="decimal"/>
      <w:lvlText w:val="%1．"/>
      <w:lvlJc w:val="left"/>
      <w:pPr>
        <w:tabs>
          <w:tab w:val="left" w:pos="720"/>
        </w:tabs>
        <w:ind w:left="720" w:hanging="720"/>
      </w:pPr>
      <w:rPr>
        <w:rFonts w:hint="default"/>
      </w:rPr>
    </w:lvl>
  </w:abstractNum>
  <w:abstractNum w:abstractNumId="5">
    <w:nsid w:val="00000021"/>
    <w:multiLevelType w:val="multilevel"/>
    <w:tmpl w:val="00000021"/>
    <w:lvl w:ilvl="0" w:tentative="0">
      <w:start w:val="7"/>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0000023"/>
    <w:multiLevelType w:val="multilevel"/>
    <w:tmpl w:val="00000023"/>
    <w:lvl w:ilvl="0" w:tentative="0">
      <w:start w:val="1"/>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00000028"/>
    <w:multiLevelType w:val="multilevel"/>
    <w:tmpl w:val="00000028"/>
    <w:lvl w:ilvl="0" w:tentative="0">
      <w:start w:val="8"/>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b w:val="0"/>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000029"/>
    <w:multiLevelType w:val="multilevel"/>
    <w:tmpl w:val="00000029"/>
    <w:lvl w:ilvl="0" w:tentative="0">
      <w:start w:val="1"/>
      <w:numFmt w:val="ideographDigital"/>
      <w:pStyle w:val="46"/>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B"/>
    <w:multiLevelType w:val="multilevel"/>
    <w:tmpl w:val="0000002B"/>
    <w:lvl w:ilvl="0" w:tentative="0">
      <w:start w:val="4"/>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2E"/>
    <w:multiLevelType w:val="multilevel"/>
    <w:tmpl w:val="0000002E"/>
    <w:lvl w:ilvl="0" w:tentative="0">
      <w:start w:val="9"/>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00000031"/>
    <w:multiLevelType w:val="multilevel"/>
    <w:tmpl w:val="00000031"/>
    <w:lvl w:ilvl="0" w:tentative="0">
      <w:start w:val="4"/>
      <w:numFmt w:val="decimal"/>
      <w:lvlText w:val="%1"/>
      <w:lvlJc w:val="left"/>
      <w:pPr>
        <w:tabs>
          <w:tab w:val="left" w:pos="425"/>
        </w:tabs>
        <w:ind w:left="425" w:hanging="425"/>
      </w:pPr>
      <w:rPr>
        <w:rFonts w:hint="default" w:ascii="Arial" w:hAnsi="Arial"/>
        <w:sz w:val="24"/>
        <w:szCs w:val="24"/>
      </w:rPr>
    </w:lvl>
    <w:lvl w:ilvl="1" w:tentative="0">
      <w:start w:val="2"/>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0000035"/>
    <w:multiLevelType w:val="multilevel"/>
    <w:tmpl w:val="00000035"/>
    <w:lvl w:ilvl="0" w:tentative="0">
      <w:start w:val="5"/>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00000038"/>
    <w:multiLevelType w:val="multilevel"/>
    <w:tmpl w:val="00000038"/>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4">
    <w:nsid w:val="00000039"/>
    <w:multiLevelType w:val="multilevel"/>
    <w:tmpl w:val="00000039"/>
    <w:lvl w:ilvl="0" w:tentative="0">
      <w:start w:val="4"/>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5">
    <w:nsid w:val="0000003C"/>
    <w:multiLevelType w:val="multilevel"/>
    <w:tmpl w:val="0000003C"/>
    <w:lvl w:ilvl="0" w:tentative="0">
      <w:start w:val="1"/>
      <w:numFmt w:val="decimal"/>
      <w:pStyle w:val="55"/>
      <w:lvlText w:val="%1."/>
      <w:lvlJc w:val="left"/>
      <w:pPr>
        <w:ind w:left="360" w:hanging="360"/>
      </w:pPr>
      <w:rPr>
        <w:rFonts w:hint="default"/>
      </w:rPr>
    </w:lvl>
    <w:lvl w:ilvl="1" w:tentative="0">
      <w:start w:val="1"/>
      <w:numFmt w:val="decimal"/>
      <w:isLgl/>
      <w:lvlText w:val="%1.%2"/>
      <w:lvlJc w:val="left"/>
      <w:pPr>
        <w:ind w:left="720" w:hanging="720"/>
      </w:pPr>
      <w:rPr>
        <w:rFonts w:hint="default"/>
        <w:b/>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16">
    <w:nsid w:val="0000003D"/>
    <w:multiLevelType w:val="multilevel"/>
    <w:tmpl w:val="0000003D"/>
    <w:lvl w:ilvl="0" w:tentative="0">
      <w:start w:val="10"/>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00000040"/>
    <w:multiLevelType w:val="multilevel"/>
    <w:tmpl w:val="00000040"/>
    <w:lvl w:ilvl="0" w:tentative="0">
      <w:start w:val="6"/>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b w:val="0"/>
      </w:rPr>
    </w:lvl>
    <w:lvl w:ilvl="2" w:tentative="0">
      <w:start w:val="1"/>
      <w:numFmt w:val="decimal"/>
      <w:lvlText w:val="%1.%2.%3"/>
      <w:lvlJc w:val="left"/>
      <w:pPr>
        <w:tabs>
          <w:tab w:val="left" w:pos="1135"/>
        </w:tabs>
        <w:ind w:left="1135"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00000043"/>
    <w:multiLevelType w:val="multilevel"/>
    <w:tmpl w:val="00000043"/>
    <w:lvl w:ilvl="0" w:tentative="0">
      <w:start w:val="8"/>
      <w:numFmt w:val="decimal"/>
      <w:lvlText w:val="%1"/>
      <w:lvlJc w:val="left"/>
      <w:pPr>
        <w:tabs>
          <w:tab w:val="left" w:pos="425"/>
        </w:tabs>
        <w:ind w:left="425" w:hanging="425"/>
      </w:pPr>
      <w:rPr>
        <w:rFonts w:hint="default" w:ascii="Arial" w:hAnsi="Arial"/>
        <w:sz w:val="24"/>
        <w:szCs w:val="24"/>
      </w:rPr>
    </w:lvl>
    <w:lvl w:ilvl="1" w:tentative="0">
      <w:start w:val="1"/>
      <w:numFmt w:val="decimal"/>
      <w:lvlText w:val="%1.%2"/>
      <w:lvlJc w:val="left"/>
      <w:pPr>
        <w:tabs>
          <w:tab w:val="left" w:pos="567"/>
        </w:tabs>
        <w:ind w:left="851" w:hanging="567"/>
      </w:pPr>
      <w:rPr>
        <w:rFonts w:hint="eastAsia"/>
      </w:rPr>
    </w:lvl>
    <w:lvl w:ilvl="2" w:tentative="0">
      <w:start w:val="1"/>
      <w:numFmt w:val="decimal"/>
      <w:lvlText w:val="%1.%2.%3"/>
      <w:lvlJc w:val="left"/>
      <w:pPr>
        <w:tabs>
          <w:tab w:val="left" w:pos="1418"/>
        </w:tabs>
        <w:ind w:left="1418" w:hanging="851"/>
      </w:pPr>
      <w:rPr>
        <w:rFonts w:hint="eastAsia"/>
        <w:color w:val="auto"/>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9">
    <w:nsid w:val="0FEF048C"/>
    <w:multiLevelType w:val="multilevel"/>
    <w:tmpl w:val="0FEF048C"/>
    <w:lvl w:ilvl="0" w:tentative="0">
      <w:start w:val="1"/>
      <w:numFmt w:val="decimal"/>
      <w:lvlText w:val="2.%1"/>
      <w:lvlJc w:val="left"/>
      <w:pPr>
        <w:tabs>
          <w:tab w:val="left" w:pos="425"/>
        </w:tabs>
        <w:ind w:left="425" w:hanging="425"/>
      </w:pPr>
      <w:rPr>
        <w:rFonts w:hint="eastAsia"/>
      </w:rPr>
    </w:lvl>
    <w:lvl w:ilvl="1" w:tentative="0">
      <w:start w:val="1"/>
      <w:numFmt w:val="decimal"/>
      <w:lvlText w:val="4.%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18786D2F"/>
    <w:multiLevelType w:val="multilevel"/>
    <w:tmpl w:val="18786D2F"/>
    <w:lvl w:ilvl="0" w:tentative="0">
      <w:start w:val="1"/>
      <w:numFmt w:val="decimal"/>
      <w:lvlText w:val="（%1）"/>
      <w:lvlJc w:val="left"/>
      <w:pPr>
        <w:ind w:left="1287" w:hanging="720"/>
      </w:pPr>
      <w:rPr>
        <w:rFonts w:hint="default" w:hAnsi="宋体"/>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1">
    <w:nsid w:val="339E69C0"/>
    <w:multiLevelType w:val="multilevel"/>
    <w:tmpl w:val="339E69C0"/>
    <w:lvl w:ilvl="0" w:tentative="0">
      <w:start w:val="1"/>
      <w:numFmt w:val="decimal"/>
      <w:lvlText w:val="3.%1"/>
      <w:lvlJc w:val="left"/>
      <w:pPr>
        <w:tabs>
          <w:tab w:val="left" w:pos="425"/>
        </w:tabs>
        <w:ind w:left="425" w:hanging="425"/>
      </w:pPr>
      <w:rPr>
        <w:rFonts w:hint="eastAsia"/>
      </w:rPr>
    </w:lvl>
    <w:lvl w:ilvl="1" w:tentative="0">
      <w:start w:val="1"/>
      <w:numFmt w:val="decimal"/>
      <w:lvlText w:val="4.%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37AE3A80"/>
    <w:multiLevelType w:val="multilevel"/>
    <w:tmpl w:val="37AE3A80"/>
    <w:lvl w:ilvl="0" w:tentative="0">
      <w:start w:val="1"/>
      <w:numFmt w:val="decimal"/>
      <w:lvlText w:val="（%1）"/>
      <w:lvlJc w:val="left"/>
      <w:pPr>
        <w:ind w:left="1287" w:hanging="720"/>
      </w:pPr>
      <w:rPr>
        <w:rFonts w:hint="default" w:hAnsi="宋体"/>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3">
    <w:nsid w:val="3ACF5120"/>
    <w:multiLevelType w:val="multilevel"/>
    <w:tmpl w:val="3ACF5120"/>
    <w:lvl w:ilvl="0" w:tentative="0">
      <w:start w:val="1"/>
      <w:numFmt w:val="chineseCountingThousand"/>
      <w:lvlText w:val="(%1)"/>
      <w:lvlJc w:val="left"/>
      <w:pPr>
        <w:ind w:left="480" w:hanging="480"/>
      </w:pPr>
      <w:rPr>
        <w:rFonts w:hint="eastAsia" w:ascii="微软雅黑" w:hAnsi="微软雅黑" w:eastAsia="微软雅黑"/>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4">
    <w:nsid w:val="47D31DCE"/>
    <w:multiLevelType w:val="multilevel"/>
    <w:tmpl w:val="47D31DCE"/>
    <w:lvl w:ilvl="0" w:tentative="0">
      <w:start w:val="3"/>
      <w:numFmt w:val="decimal"/>
      <w:pStyle w:val="159"/>
      <w:lvlText w:val="%1、"/>
      <w:lvlJc w:val="left"/>
      <w:pPr>
        <w:tabs>
          <w:tab w:val="left" w:pos="600"/>
        </w:tabs>
        <w:ind w:left="60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25">
    <w:nsid w:val="5AA36B38"/>
    <w:multiLevelType w:val="multilevel"/>
    <w:tmpl w:val="5AA36B38"/>
    <w:lvl w:ilvl="0" w:tentative="0">
      <w:start w:val="1"/>
      <w:numFmt w:val="japaneseCounting"/>
      <w:lvlText w:val="第%1条"/>
      <w:lvlJc w:val="left"/>
      <w:pPr>
        <w:tabs>
          <w:tab w:val="left" w:pos="840"/>
        </w:tabs>
        <w:ind w:left="840" w:hanging="840"/>
      </w:pPr>
      <w:rPr>
        <w:rFonts w:hint="default"/>
      </w:rPr>
    </w:lvl>
    <w:lvl w:ilvl="1" w:tentative="0">
      <w:start w:val="1"/>
      <w:numFmt w:val="decimal"/>
      <w:lvlText w:val="%2．"/>
      <w:lvlJc w:val="left"/>
      <w:pPr>
        <w:tabs>
          <w:tab w:val="left" w:pos="720"/>
        </w:tabs>
        <w:ind w:left="720" w:hanging="360"/>
      </w:pPr>
      <w:rPr>
        <w:rFonts w:hint="default"/>
      </w:rPr>
    </w:lvl>
    <w:lvl w:ilvl="2" w:tentative="0">
      <w:start w:val="1"/>
      <w:numFmt w:val="ideographTraditional"/>
      <w:lvlText w:val="%3、"/>
      <w:lvlJc w:val="left"/>
      <w:pPr>
        <w:tabs>
          <w:tab w:val="left" w:pos="1290"/>
        </w:tabs>
        <w:ind w:left="1290" w:hanging="45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7F950CFA"/>
    <w:multiLevelType w:val="multilevel"/>
    <w:tmpl w:val="7F950CF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8"/>
  </w:num>
  <w:num w:numId="2">
    <w:abstractNumId w:val="0"/>
  </w:num>
  <w:num w:numId="3">
    <w:abstractNumId w:val="15"/>
  </w:num>
  <w:num w:numId="4">
    <w:abstractNumId w:val="2"/>
  </w:num>
  <w:num w:numId="5">
    <w:abstractNumId w:val="24"/>
  </w:num>
  <w:num w:numId="6">
    <w:abstractNumId w:val="4"/>
  </w:num>
  <w:num w:numId="7">
    <w:abstractNumId w:val="6"/>
  </w:num>
  <w:num w:numId="8">
    <w:abstractNumId w:val="3"/>
  </w:num>
  <w:num w:numId="9">
    <w:abstractNumId w:val="9"/>
  </w:num>
  <w:num w:numId="10">
    <w:abstractNumId w:val="14"/>
  </w:num>
  <w:num w:numId="11">
    <w:abstractNumId w:val="11"/>
  </w:num>
  <w:num w:numId="12">
    <w:abstractNumId w:val="1"/>
  </w:num>
  <w:num w:numId="13">
    <w:abstractNumId w:val="12"/>
  </w:num>
  <w:num w:numId="14">
    <w:abstractNumId w:val="13"/>
  </w:num>
  <w:num w:numId="15">
    <w:abstractNumId w:val="17"/>
  </w:num>
  <w:num w:numId="16">
    <w:abstractNumId w:val="5"/>
  </w:num>
  <w:num w:numId="17">
    <w:abstractNumId w:val="7"/>
  </w:num>
  <w:num w:numId="18">
    <w:abstractNumId w:val="18"/>
  </w:num>
  <w:num w:numId="19">
    <w:abstractNumId w:val="20"/>
  </w:num>
  <w:num w:numId="20">
    <w:abstractNumId w:val="22"/>
  </w:num>
  <w:num w:numId="21">
    <w:abstractNumId w:val="10"/>
  </w:num>
  <w:num w:numId="22">
    <w:abstractNumId w:val="16"/>
  </w:num>
  <w:num w:numId="23">
    <w:abstractNumId w:val="15"/>
    <w:lvlOverride w:ilvl="0">
      <w:startOverride w:val="1"/>
    </w:lvlOverride>
  </w:num>
  <w:num w:numId="24">
    <w:abstractNumId w:val="23"/>
  </w:num>
  <w:num w:numId="25">
    <w:abstractNumId w:val="25"/>
  </w:num>
  <w:num w:numId="26">
    <w:abstractNumId w:val="2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NWY3YjU4ZTNhMThlOTc5OGU2YzFmMTYwZDE0N2UifQ=="/>
  </w:docVars>
  <w:rsids>
    <w:rsidRoot w:val="009F14CF"/>
    <w:rsid w:val="00004581"/>
    <w:rsid w:val="00004CB7"/>
    <w:rsid w:val="00010971"/>
    <w:rsid w:val="00014000"/>
    <w:rsid w:val="00016D1D"/>
    <w:rsid w:val="00020D03"/>
    <w:rsid w:val="00026EF5"/>
    <w:rsid w:val="00030F66"/>
    <w:rsid w:val="00033A5D"/>
    <w:rsid w:val="000351BB"/>
    <w:rsid w:val="00035D96"/>
    <w:rsid w:val="0004113D"/>
    <w:rsid w:val="000436F3"/>
    <w:rsid w:val="00043E82"/>
    <w:rsid w:val="00052F6C"/>
    <w:rsid w:val="00057F5C"/>
    <w:rsid w:val="0006224C"/>
    <w:rsid w:val="00063E92"/>
    <w:rsid w:val="000655D6"/>
    <w:rsid w:val="000656E3"/>
    <w:rsid w:val="00066F8C"/>
    <w:rsid w:val="00071B63"/>
    <w:rsid w:val="00074948"/>
    <w:rsid w:val="000800D1"/>
    <w:rsid w:val="00080144"/>
    <w:rsid w:val="00091D1F"/>
    <w:rsid w:val="00092D5C"/>
    <w:rsid w:val="000A3A9E"/>
    <w:rsid w:val="000C5664"/>
    <w:rsid w:val="000D1ABF"/>
    <w:rsid w:val="000D200A"/>
    <w:rsid w:val="000D5C0A"/>
    <w:rsid w:val="000D645D"/>
    <w:rsid w:val="000D6905"/>
    <w:rsid w:val="000E6142"/>
    <w:rsid w:val="000E67EF"/>
    <w:rsid w:val="000F0972"/>
    <w:rsid w:val="000F25BD"/>
    <w:rsid w:val="000F720F"/>
    <w:rsid w:val="000F771F"/>
    <w:rsid w:val="000F7B42"/>
    <w:rsid w:val="00100FDC"/>
    <w:rsid w:val="00107A43"/>
    <w:rsid w:val="00110CE8"/>
    <w:rsid w:val="00110F7B"/>
    <w:rsid w:val="0011381F"/>
    <w:rsid w:val="00113F89"/>
    <w:rsid w:val="00116E7F"/>
    <w:rsid w:val="00117A69"/>
    <w:rsid w:val="001216B8"/>
    <w:rsid w:val="00125E26"/>
    <w:rsid w:val="00126B19"/>
    <w:rsid w:val="00131D4F"/>
    <w:rsid w:val="00133271"/>
    <w:rsid w:val="00135770"/>
    <w:rsid w:val="00140B0F"/>
    <w:rsid w:val="00141035"/>
    <w:rsid w:val="001549B4"/>
    <w:rsid w:val="0015739E"/>
    <w:rsid w:val="0016259A"/>
    <w:rsid w:val="0017097F"/>
    <w:rsid w:val="001713FA"/>
    <w:rsid w:val="001717E4"/>
    <w:rsid w:val="0017349A"/>
    <w:rsid w:val="00176416"/>
    <w:rsid w:val="001772D1"/>
    <w:rsid w:val="00180CA7"/>
    <w:rsid w:val="001838DB"/>
    <w:rsid w:val="001848E2"/>
    <w:rsid w:val="00185074"/>
    <w:rsid w:val="001860B2"/>
    <w:rsid w:val="00194951"/>
    <w:rsid w:val="001A2D54"/>
    <w:rsid w:val="001A3D90"/>
    <w:rsid w:val="001A7B41"/>
    <w:rsid w:val="001B5507"/>
    <w:rsid w:val="001C5B6B"/>
    <w:rsid w:val="001D08B1"/>
    <w:rsid w:val="001D327E"/>
    <w:rsid w:val="001D5EE3"/>
    <w:rsid w:val="001E0C80"/>
    <w:rsid w:val="001E1965"/>
    <w:rsid w:val="001E436B"/>
    <w:rsid w:val="001F0865"/>
    <w:rsid w:val="001F13D6"/>
    <w:rsid w:val="001F22D6"/>
    <w:rsid w:val="001F35D5"/>
    <w:rsid w:val="00202685"/>
    <w:rsid w:val="00206473"/>
    <w:rsid w:val="00210317"/>
    <w:rsid w:val="00212D87"/>
    <w:rsid w:val="00214CF6"/>
    <w:rsid w:val="002306EA"/>
    <w:rsid w:val="002311ED"/>
    <w:rsid w:val="00233BB4"/>
    <w:rsid w:val="00233BCF"/>
    <w:rsid w:val="00235402"/>
    <w:rsid w:val="002403EF"/>
    <w:rsid w:val="00240946"/>
    <w:rsid w:val="00241084"/>
    <w:rsid w:val="0024397D"/>
    <w:rsid w:val="00243AB3"/>
    <w:rsid w:val="002466E7"/>
    <w:rsid w:val="00251C99"/>
    <w:rsid w:val="00255097"/>
    <w:rsid w:val="00257694"/>
    <w:rsid w:val="00257747"/>
    <w:rsid w:val="00263E7A"/>
    <w:rsid w:val="0026658C"/>
    <w:rsid w:val="002671FA"/>
    <w:rsid w:val="00271C3E"/>
    <w:rsid w:val="0028229D"/>
    <w:rsid w:val="00282ACF"/>
    <w:rsid w:val="002874CB"/>
    <w:rsid w:val="002878A6"/>
    <w:rsid w:val="002A2C26"/>
    <w:rsid w:val="002A2F01"/>
    <w:rsid w:val="002A7005"/>
    <w:rsid w:val="002B0E35"/>
    <w:rsid w:val="002B24F1"/>
    <w:rsid w:val="002C371E"/>
    <w:rsid w:val="002C4C76"/>
    <w:rsid w:val="002C4E59"/>
    <w:rsid w:val="002C54E1"/>
    <w:rsid w:val="002D12C7"/>
    <w:rsid w:val="002D12CE"/>
    <w:rsid w:val="002F420C"/>
    <w:rsid w:val="002F5972"/>
    <w:rsid w:val="002F5E35"/>
    <w:rsid w:val="00300D96"/>
    <w:rsid w:val="003019EC"/>
    <w:rsid w:val="003066C2"/>
    <w:rsid w:val="00320660"/>
    <w:rsid w:val="003226EB"/>
    <w:rsid w:val="00330F89"/>
    <w:rsid w:val="00333E75"/>
    <w:rsid w:val="0034053C"/>
    <w:rsid w:val="003436D5"/>
    <w:rsid w:val="00344362"/>
    <w:rsid w:val="003444C6"/>
    <w:rsid w:val="00352950"/>
    <w:rsid w:val="0035307B"/>
    <w:rsid w:val="003549CA"/>
    <w:rsid w:val="00357F24"/>
    <w:rsid w:val="00360D45"/>
    <w:rsid w:val="00362225"/>
    <w:rsid w:val="00366079"/>
    <w:rsid w:val="00366FEB"/>
    <w:rsid w:val="00367C17"/>
    <w:rsid w:val="00391A8C"/>
    <w:rsid w:val="00392C43"/>
    <w:rsid w:val="003A0A92"/>
    <w:rsid w:val="003A19E2"/>
    <w:rsid w:val="003B02B6"/>
    <w:rsid w:val="003B0BFC"/>
    <w:rsid w:val="003B4D30"/>
    <w:rsid w:val="003B75A2"/>
    <w:rsid w:val="003C155D"/>
    <w:rsid w:val="003C15E6"/>
    <w:rsid w:val="003C28B7"/>
    <w:rsid w:val="003C3997"/>
    <w:rsid w:val="003C4337"/>
    <w:rsid w:val="003C54AD"/>
    <w:rsid w:val="003C736B"/>
    <w:rsid w:val="003C7AFA"/>
    <w:rsid w:val="003D2B2C"/>
    <w:rsid w:val="003D7E85"/>
    <w:rsid w:val="003E01EC"/>
    <w:rsid w:val="003E108F"/>
    <w:rsid w:val="003E6708"/>
    <w:rsid w:val="003F4244"/>
    <w:rsid w:val="003F7EF4"/>
    <w:rsid w:val="00400735"/>
    <w:rsid w:val="00400864"/>
    <w:rsid w:val="00405227"/>
    <w:rsid w:val="0041276A"/>
    <w:rsid w:val="00430036"/>
    <w:rsid w:val="0043270D"/>
    <w:rsid w:val="004337E5"/>
    <w:rsid w:val="00437494"/>
    <w:rsid w:val="004451E9"/>
    <w:rsid w:val="00445A24"/>
    <w:rsid w:val="004461EF"/>
    <w:rsid w:val="0045465F"/>
    <w:rsid w:val="00460C7C"/>
    <w:rsid w:val="00460F7E"/>
    <w:rsid w:val="00461702"/>
    <w:rsid w:val="004648C6"/>
    <w:rsid w:val="00472327"/>
    <w:rsid w:val="004724D7"/>
    <w:rsid w:val="004739D8"/>
    <w:rsid w:val="00473DE1"/>
    <w:rsid w:val="0047709F"/>
    <w:rsid w:val="004772A7"/>
    <w:rsid w:val="0048099A"/>
    <w:rsid w:val="004816CE"/>
    <w:rsid w:val="004A20EC"/>
    <w:rsid w:val="004A3666"/>
    <w:rsid w:val="004A6B79"/>
    <w:rsid w:val="004B1595"/>
    <w:rsid w:val="004B1668"/>
    <w:rsid w:val="004B17D2"/>
    <w:rsid w:val="004C0480"/>
    <w:rsid w:val="004C15E2"/>
    <w:rsid w:val="004C2D6C"/>
    <w:rsid w:val="004D087E"/>
    <w:rsid w:val="004D67E2"/>
    <w:rsid w:val="004D7285"/>
    <w:rsid w:val="004F0F40"/>
    <w:rsid w:val="004F377B"/>
    <w:rsid w:val="004F474C"/>
    <w:rsid w:val="004F5CA3"/>
    <w:rsid w:val="005031CD"/>
    <w:rsid w:val="00507D6F"/>
    <w:rsid w:val="005119F2"/>
    <w:rsid w:val="005124F9"/>
    <w:rsid w:val="00513F47"/>
    <w:rsid w:val="00520ADD"/>
    <w:rsid w:val="00520AE1"/>
    <w:rsid w:val="0052622A"/>
    <w:rsid w:val="00532756"/>
    <w:rsid w:val="00533551"/>
    <w:rsid w:val="00533A74"/>
    <w:rsid w:val="005426B3"/>
    <w:rsid w:val="005452D5"/>
    <w:rsid w:val="0054592A"/>
    <w:rsid w:val="0055667E"/>
    <w:rsid w:val="00564422"/>
    <w:rsid w:val="00565818"/>
    <w:rsid w:val="00565DBA"/>
    <w:rsid w:val="00571959"/>
    <w:rsid w:val="00571E92"/>
    <w:rsid w:val="005810D3"/>
    <w:rsid w:val="005826FC"/>
    <w:rsid w:val="005845DF"/>
    <w:rsid w:val="00594D54"/>
    <w:rsid w:val="00595F6E"/>
    <w:rsid w:val="005C069D"/>
    <w:rsid w:val="005D1314"/>
    <w:rsid w:val="005D31F2"/>
    <w:rsid w:val="005D60C2"/>
    <w:rsid w:val="005E08CC"/>
    <w:rsid w:val="005E2783"/>
    <w:rsid w:val="005E4550"/>
    <w:rsid w:val="005E66A7"/>
    <w:rsid w:val="005E725F"/>
    <w:rsid w:val="005F031E"/>
    <w:rsid w:val="005F0B61"/>
    <w:rsid w:val="005F1026"/>
    <w:rsid w:val="005F462F"/>
    <w:rsid w:val="005F73F9"/>
    <w:rsid w:val="00607443"/>
    <w:rsid w:val="00610FF3"/>
    <w:rsid w:val="0061139D"/>
    <w:rsid w:val="00613997"/>
    <w:rsid w:val="006210CE"/>
    <w:rsid w:val="00624AF7"/>
    <w:rsid w:val="00653C9B"/>
    <w:rsid w:val="00655847"/>
    <w:rsid w:val="00660923"/>
    <w:rsid w:val="006743D4"/>
    <w:rsid w:val="00685550"/>
    <w:rsid w:val="006878C1"/>
    <w:rsid w:val="00693B40"/>
    <w:rsid w:val="006A0090"/>
    <w:rsid w:val="006A0C8A"/>
    <w:rsid w:val="006A1941"/>
    <w:rsid w:val="006A2064"/>
    <w:rsid w:val="006A4CE7"/>
    <w:rsid w:val="006A699D"/>
    <w:rsid w:val="006B2683"/>
    <w:rsid w:val="006B7048"/>
    <w:rsid w:val="006C0CB4"/>
    <w:rsid w:val="006C1E48"/>
    <w:rsid w:val="006D689C"/>
    <w:rsid w:val="006D7222"/>
    <w:rsid w:val="006E3D8C"/>
    <w:rsid w:val="006E4C1C"/>
    <w:rsid w:val="006E76D0"/>
    <w:rsid w:val="006F77D3"/>
    <w:rsid w:val="00703565"/>
    <w:rsid w:val="0070524F"/>
    <w:rsid w:val="0070638C"/>
    <w:rsid w:val="00711F4B"/>
    <w:rsid w:val="007144F4"/>
    <w:rsid w:val="00716275"/>
    <w:rsid w:val="00717FE2"/>
    <w:rsid w:val="0072121C"/>
    <w:rsid w:val="00721C8B"/>
    <w:rsid w:val="00732AAE"/>
    <w:rsid w:val="00737D06"/>
    <w:rsid w:val="00740B67"/>
    <w:rsid w:val="007429A8"/>
    <w:rsid w:val="00742EBA"/>
    <w:rsid w:val="00747C39"/>
    <w:rsid w:val="007571DB"/>
    <w:rsid w:val="0076171D"/>
    <w:rsid w:val="00763887"/>
    <w:rsid w:val="007650E0"/>
    <w:rsid w:val="00765735"/>
    <w:rsid w:val="00765DF1"/>
    <w:rsid w:val="007716F3"/>
    <w:rsid w:val="00771961"/>
    <w:rsid w:val="00772932"/>
    <w:rsid w:val="00772EAA"/>
    <w:rsid w:val="007735A3"/>
    <w:rsid w:val="00774536"/>
    <w:rsid w:val="007767C3"/>
    <w:rsid w:val="0078226E"/>
    <w:rsid w:val="00783382"/>
    <w:rsid w:val="0078750C"/>
    <w:rsid w:val="0079127D"/>
    <w:rsid w:val="00796C19"/>
    <w:rsid w:val="007A13EF"/>
    <w:rsid w:val="007A2B4B"/>
    <w:rsid w:val="007A4D0B"/>
    <w:rsid w:val="007A7957"/>
    <w:rsid w:val="007C1934"/>
    <w:rsid w:val="007D03CB"/>
    <w:rsid w:val="007D1094"/>
    <w:rsid w:val="007D1126"/>
    <w:rsid w:val="007D384C"/>
    <w:rsid w:val="007D45A9"/>
    <w:rsid w:val="007D5102"/>
    <w:rsid w:val="007D6269"/>
    <w:rsid w:val="007D69F2"/>
    <w:rsid w:val="007E227F"/>
    <w:rsid w:val="007F343F"/>
    <w:rsid w:val="007F699E"/>
    <w:rsid w:val="0080422E"/>
    <w:rsid w:val="00807247"/>
    <w:rsid w:val="00815C08"/>
    <w:rsid w:val="00822E05"/>
    <w:rsid w:val="0082330D"/>
    <w:rsid w:val="00824752"/>
    <w:rsid w:val="0083133B"/>
    <w:rsid w:val="0083315C"/>
    <w:rsid w:val="008437BD"/>
    <w:rsid w:val="008521BA"/>
    <w:rsid w:val="008542A7"/>
    <w:rsid w:val="00857BED"/>
    <w:rsid w:val="008629A1"/>
    <w:rsid w:val="0086342B"/>
    <w:rsid w:val="008634C4"/>
    <w:rsid w:val="00863C26"/>
    <w:rsid w:val="00870726"/>
    <w:rsid w:val="00874E7C"/>
    <w:rsid w:val="00876B6B"/>
    <w:rsid w:val="008772FD"/>
    <w:rsid w:val="008779FC"/>
    <w:rsid w:val="00877EF6"/>
    <w:rsid w:val="00882F14"/>
    <w:rsid w:val="00892621"/>
    <w:rsid w:val="008A449B"/>
    <w:rsid w:val="008B6216"/>
    <w:rsid w:val="008B6604"/>
    <w:rsid w:val="008B750B"/>
    <w:rsid w:val="008B7521"/>
    <w:rsid w:val="008C22E5"/>
    <w:rsid w:val="008D172E"/>
    <w:rsid w:val="008E241C"/>
    <w:rsid w:val="008E3794"/>
    <w:rsid w:val="008E4CCB"/>
    <w:rsid w:val="008F3CC4"/>
    <w:rsid w:val="008F5934"/>
    <w:rsid w:val="0090052C"/>
    <w:rsid w:val="009012E2"/>
    <w:rsid w:val="00902360"/>
    <w:rsid w:val="0090369B"/>
    <w:rsid w:val="00906132"/>
    <w:rsid w:val="00912914"/>
    <w:rsid w:val="00915626"/>
    <w:rsid w:val="00917EB0"/>
    <w:rsid w:val="00921F2E"/>
    <w:rsid w:val="0092583D"/>
    <w:rsid w:val="0092598C"/>
    <w:rsid w:val="0093254E"/>
    <w:rsid w:val="0094351C"/>
    <w:rsid w:val="009457D1"/>
    <w:rsid w:val="00954CB9"/>
    <w:rsid w:val="00957A37"/>
    <w:rsid w:val="00961AE2"/>
    <w:rsid w:val="009626CF"/>
    <w:rsid w:val="00963B0E"/>
    <w:rsid w:val="00963C63"/>
    <w:rsid w:val="00971B12"/>
    <w:rsid w:val="00980A38"/>
    <w:rsid w:val="0099201E"/>
    <w:rsid w:val="00992A66"/>
    <w:rsid w:val="009A18E2"/>
    <w:rsid w:val="009A19C3"/>
    <w:rsid w:val="009A40B4"/>
    <w:rsid w:val="009B15D5"/>
    <w:rsid w:val="009B2C99"/>
    <w:rsid w:val="009B4149"/>
    <w:rsid w:val="009B45DD"/>
    <w:rsid w:val="009B5BB8"/>
    <w:rsid w:val="009C3CBD"/>
    <w:rsid w:val="009C4552"/>
    <w:rsid w:val="009C5358"/>
    <w:rsid w:val="009D3064"/>
    <w:rsid w:val="009D4352"/>
    <w:rsid w:val="009D4AA7"/>
    <w:rsid w:val="009D7D8A"/>
    <w:rsid w:val="009E3FD3"/>
    <w:rsid w:val="009F14CF"/>
    <w:rsid w:val="009F2BE5"/>
    <w:rsid w:val="00A13A87"/>
    <w:rsid w:val="00A21AD9"/>
    <w:rsid w:val="00A21B2F"/>
    <w:rsid w:val="00A2648A"/>
    <w:rsid w:val="00A279FE"/>
    <w:rsid w:val="00A40109"/>
    <w:rsid w:val="00A41754"/>
    <w:rsid w:val="00A41A7B"/>
    <w:rsid w:val="00A43413"/>
    <w:rsid w:val="00A4599E"/>
    <w:rsid w:val="00A524D5"/>
    <w:rsid w:val="00A5471B"/>
    <w:rsid w:val="00A5535F"/>
    <w:rsid w:val="00A57B29"/>
    <w:rsid w:val="00A630A3"/>
    <w:rsid w:val="00A650B4"/>
    <w:rsid w:val="00A708DF"/>
    <w:rsid w:val="00A724C3"/>
    <w:rsid w:val="00A744A2"/>
    <w:rsid w:val="00A7624E"/>
    <w:rsid w:val="00A77832"/>
    <w:rsid w:val="00A82F53"/>
    <w:rsid w:val="00A90C3E"/>
    <w:rsid w:val="00AA28EF"/>
    <w:rsid w:val="00AA300C"/>
    <w:rsid w:val="00AA3CE9"/>
    <w:rsid w:val="00AA5838"/>
    <w:rsid w:val="00AB0AA2"/>
    <w:rsid w:val="00AB6DB4"/>
    <w:rsid w:val="00AC073A"/>
    <w:rsid w:val="00AC1777"/>
    <w:rsid w:val="00AC265B"/>
    <w:rsid w:val="00AD4FF5"/>
    <w:rsid w:val="00AD5AAD"/>
    <w:rsid w:val="00AE1075"/>
    <w:rsid w:val="00AE5FF2"/>
    <w:rsid w:val="00AE7D66"/>
    <w:rsid w:val="00AF03B1"/>
    <w:rsid w:val="00AF6D16"/>
    <w:rsid w:val="00B01FC3"/>
    <w:rsid w:val="00B01FD1"/>
    <w:rsid w:val="00B0332D"/>
    <w:rsid w:val="00B04A9A"/>
    <w:rsid w:val="00B05EB6"/>
    <w:rsid w:val="00B1481A"/>
    <w:rsid w:val="00B169C4"/>
    <w:rsid w:val="00B2649C"/>
    <w:rsid w:val="00B27B19"/>
    <w:rsid w:val="00B30007"/>
    <w:rsid w:val="00B45195"/>
    <w:rsid w:val="00B5028D"/>
    <w:rsid w:val="00B52FBB"/>
    <w:rsid w:val="00B53674"/>
    <w:rsid w:val="00B53EB0"/>
    <w:rsid w:val="00B54444"/>
    <w:rsid w:val="00B6129C"/>
    <w:rsid w:val="00B6247B"/>
    <w:rsid w:val="00B63241"/>
    <w:rsid w:val="00B64145"/>
    <w:rsid w:val="00B660AA"/>
    <w:rsid w:val="00B66392"/>
    <w:rsid w:val="00B663B5"/>
    <w:rsid w:val="00B763A9"/>
    <w:rsid w:val="00B86882"/>
    <w:rsid w:val="00B90D7A"/>
    <w:rsid w:val="00B91083"/>
    <w:rsid w:val="00BA0C5B"/>
    <w:rsid w:val="00BA1E41"/>
    <w:rsid w:val="00BB0CE8"/>
    <w:rsid w:val="00BB1D92"/>
    <w:rsid w:val="00BB7624"/>
    <w:rsid w:val="00BC5A2B"/>
    <w:rsid w:val="00BC7FA2"/>
    <w:rsid w:val="00BD6733"/>
    <w:rsid w:val="00BE09DE"/>
    <w:rsid w:val="00BE781F"/>
    <w:rsid w:val="00BE7E9F"/>
    <w:rsid w:val="00BF0A52"/>
    <w:rsid w:val="00BF4B7A"/>
    <w:rsid w:val="00BF5667"/>
    <w:rsid w:val="00C01B7B"/>
    <w:rsid w:val="00C0699D"/>
    <w:rsid w:val="00C10211"/>
    <w:rsid w:val="00C10545"/>
    <w:rsid w:val="00C12AA8"/>
    <w:rsid w:val="00C17C88"/>
    <w:rsid w:val="00C24E36"/>
    <w:rsid w:val="00C31784"/>
    <w:rsid w:val="00C356BB"/>
    <w:rsid w:val="00C36826"/>
    <w:rsid w:val="00C40A21"/>
    <w:rsid w:val="00C4103E"/>
    <w:rsid w:val="00C41675"/>
    <w:rsid w:val="00C47172"/>
    <w:rsid w:val="00C47728"/>
    <w:rsid w:val="00C52C40"/>
    <w:rsid w:val="00C54C23"/>
    <w:rsid w:val="00C56390"/>
    <w:rsid w:val="00C616E1"/>
    <w:rsid w:val="00C61FE1"/>
    <w:rsid w:val="00C62994"/>
    <w:rsid w:val="00C6441D"/>
    <w:rsid w:val="00C71ED7"/>
    <w:rsid w:val="00C732EA"/>
    <w:rsid w:val="00C73E35"/>
    <w:rsid w:val="00C75470"/>
    <w:rsid w:val="00C856D6"/>
    <w:rsid w:val="00C942F6"/>
    <w:rsid w:val="00C94F34"/>
    <w:rsid w:val="00C96BF4"/>
    <w:rsid w:val="00CA1236"/>
    <w:rsid w:val="00CA5418"/>
    <w:rsid w:val="00CA6E0D"/>
    <w:rsid w:val="00CA715B"/>
    <w:rsid w:val="00CA75EB"/>
    <w:rsid w:val="00CB16C7"/>
    <w:rsid w:val="00CB500D"/>
    <w:rsid w:val="00CC17C2"/>
    <w:rsid w:val="00CC293B"/>
    <w:rsid w:val="00CD38C7"/>
    <w:rsid w:val="00CD5420"/>
    <w:rsid w:val="00CD750B"/>
    <w:rsid w:val="00CE3021"/>
    <w:rsid w:val="00CE40B8"/>
    <w:rsid w:val="00CE4C9F"/>
    <w:rsid w:val="00CE676B"/>
    <w:rsid w:val="00CF09BA"/>
    <w:rsid w:val="00D00ED5"/>
    <w:rsid w:val="00D05B7A"/>
    <w:rsid w:val="00D13402"/>
    <w:rsid w:val="00D173CA"/>
    <w:rsid w:val="00D17A59"/>
    <w:rsid w:val="00D22F92"/>
    <w:rsid w:val="00D31AFB"/>
    <w:rsid w:val="00D32AC0"/>
    <w:rsid w:val="00D337EF"/>
    <w:rsid w:val="00D35704"/>
    <w:rsid w:val="00D44B86"/>
    <w:rsid w:val="00D504B5"/>
    <w:rsid w:val="00D51D88"/>
    <w:rsid w:val="00D56E6F"/>
    <w:rsid w:val="00D612EF"/>
    <w:rsid w:val="00D63C8F"/>
    <w:rsid w:val="00D65BD2"/>
    <w:rsid w:val="00D67E8C"/>
    <w:rsid w:val="00D77A3B"/>
    <w:rsid w:val="00D810A2"/>
    <w:rsid w:val="00D86D5E"/>
    <w:rsid w:val="00D87349"/>
    <w:rsid w:val="00D9193F"/>
    <w:rsid w:val="00D955B7"/>
    <w:rsid w:val="00D965E6"/>
    <w:rsid w:val="00D96A1B"/>
    <w:rsid w:val="00DA1450"/>
    <w:rsid w:val="00DA433C"/>
    <w:rsid w:val="00DA4A43"/>
    <w:rsid w:val="00DB01CF"/>
    <w:rsid w:val="00DB1C1F"/>
    <w:rsid w:val="00DB5DE1"/>
    <w:rsid w:val="00DB759D"/>
    <w:rsid w:val="00DB7BEE"/>
    <w:rsid w:val="00DC0567"/>
    <w:rsid w:val="00DC11C4"/>
    <w:rsid w:val="00DC1F7E"/>
    <w:rsid w:val="00DC2675"/>
    <w:rsid w:val="00DC5C19"/>
    <w:rsid w:val="00DD0724"/>
    <w:rsid w:val="00DD290F"/>
    <w:rsid w:val="00DD4A3A"/>
    <w:rsid w:val="00DE6967"/>
    <w:rsid w:val="00E123F3"/>
    <w:rsid w:val="00E13D0A"/>
    <w:rsid w:val="00E15BEB"/>
    <w:rsid w:val="00E17CD1"/>
    <w:rsid w:val="00E23C94"/>
    <w:rsid w:val="00E42B49"/>
    <w:rsid w:val="00E44874"/>
    <w:rsid w:val="00E45D3A"/>
    <w:rsid w:val="00E61D70"/>
    <w:rsid w:val="00E63269"/>
    <w:rsid w:val="00E7444A"/>
    <w:rsid w:val="00E807EB"/>
    <w:rsid w:val="00E84349"/>
    <w:rsid w:val="00E90D75"/>
    <w:rsid w:val="00E91DAC"/>
    <w:rsid w:val="00E943A2"/>
    <w:rsid w:val="00E94B74"/>
    <w:rsid w:val="00EA0818"/>
    <w:rsid w:val="00EA3D2E"/>
    <w:rsid w:val="00EA5E5C"/>
    <w:rsid w:val="00EA648B"/>
    <w:rsid w:val="00EB66B3"/>
    <w:rsid w:val="00EC1A3E"/>
    <w:rsid w:val="00EC1D78"/>
    <w:rsid w:val="00EE1A65"/>
    <w:rsid w:val="00EE7441"/>
    <w:rsid w:val="00EF1407"/>
    <w:rsid w:val="00EF58FD"/>
    <w:rsid w:val="00EF5F29"/>
    <w:rsid w:val="00EF6F35"/>
    <w:rsid w:val="00F02C97"/>
    <w:rsid w:val="00F10B44"/>
    <w:rsid w:val="00F111CA"/>
    <w:rsid w:val="00F2227C"/>
    <w:rsid w:val="00F26291"/>
    <w:rsid w:val="00F30BE9"/>
    <w:rsid w:val="00F35B76"/>
    <w:rsid w:val="00F37511"/>
    <w:rsid w:val="00F37B98"/>
    <w:rsid w:val="00F4072E"/>
    <w:rsid w:val="00F412C7"/>
    <w:rsid w:val="00F42F16"/>
    <w:rsid w:val="00F435AA"/>
    <w:rsid w:val="00F43D82"/>
    <w:rsid w:val="00F44510"/>
    <w:rsid w:val="00F5126F"/>
    <w:rsid w:val="00F51EFC"/>
    <w:rsid w:val="00F54A71"/>
    <w:rsid w:val="00F607DC"/>
    <w:rsid w:val="00F6165E"/>
    <w:rsid w:val="00F768BB"/>
    <w:rsid w:val="00F84504"/>
    <w:rsid w:val="00F85381"/>
    <w:rsid w:val="00F873A9"/>
    <w:rsid w:val="00F8796E"/>
    <w:rsid w:val="00FA1137"/>
    <w:rsid w:val="00FA13D3"/>
    <w:rsid w:val="00FA2A4A"/>
    <w:rsid w:val="00FA38A9"/>
    <w:rsid w:val="00FA4077"/>
    <w:rsid w:val="00FA498B"/>
    <w:rsid w:val="00FA6B22"/>
    <w:rsid w:val="00FB4998"/>
    <w:rsid w:val="00FB5F16"/>
    <w:rsid w:val="00FB772E"/>
    <w:rsid w:val="00FC0F0B"/>
    <w:rsid w:val="00FC2A9A"/>
    <w:rsid w:val="00FC3E3D"/>
    <w:rsid w:val="00FC4A56"/>
    <w:rsid w:val="00FD4007"/>
    <w:rsid w:val="00FE34A0"/>
    <w:rsid w:val="00FE5284"/>
    <w:rsid w:val="00FE5F0A"/>
    <w:rsid w:val="00FE6AA5"/>
    <w:rsid w:val="00FF5A4F"/>
    <w:rsid w:val="020F6BCF"/>
    <w:rsid w:val="022041AF"/>
    <w:rsid w:val="02383354"/>
    <w:rsid w:val="023C2CB6"/>
    <w:rsid w:val="03664EA1"/>
    <w:rsid w:val="04F31C66"/>
    <w:rsid w:val="074744CE"/>
    <w:rsid w:val="07F70A42"/>
    <w:rsid w:val="088D3112"/>
    <w:rsid w:val="0C443AB9"/>
    <w:rsid w:val="0D574AB6"/>
    <w:rsid w:val="0DA078D8"/>
    <w:rsid w:val="0DA3570D"/>
    <w:rsid w:val="0DB83402"/>
    <w:rsid w:val="0E986022"/>
    <w:rsid w:val="10832D6A"/>
    <w:rsid w:val="10DA712F"/>
    <w:rsid w:val="13D30A02"/>
    <w:rsid w:val="14752EA0"/>
    <w:rsid w:val="17CC0485"/>
    <w:rsid w:val="19C209F2"/>
    <w:rsid w:val="19E248FD"/>
    <w:rsid w:val="1BC80A5A"/>
    <w:rsid w:val="1E234AA9"/>
    <w:rsid w:val="1E46688E"/>
    <w:rsid w:val="1F2C5181"/>
    <w:rsid w:val="1F4315DA"/>
    <w:rsid w:val="1F4F0AE3"/>
    <w:rsid w:val="1F81583C"/>
    <w:rsid w:val="207E6894"/>
    <w:rsid w:val="20847B6C"/>
    <w:rsid w:val="21A54595"/>
    <w:rsid w:val="22526EEF"/>
    <w:rsid w:val="230A1336"/>
    <w:rsid w:val="23E66C7A"/>
    <w:rsid w:val="24485813"/>
    <w:rsid w:val="245C663A"/>
    <w:rsid w:val="24A20924"/>
    <w:rsid w:val="263A6523"/>
    <w:rsid w:val="26620760"/>
    <w:rsid w:val="291431CF"/>
    <w:rsid w:val="29271B04"/>
    <w:rsid w:val="29D665F9"/>
    <w:rsid w:val="2A4A6FC3"/>
    <w:rsid w:val="2AA24CBF"/>
    <w:rsid w:val="2B881553"/>
    <w:rsid w:val="2C7D12EF"/>
    <w:rsid w:val="2D9A214C"/>
    <w:rsid w:val="2DD81A47"/>
    <w:rsid w:val="30E67BF5"/>
    <w:rsid w:val="31DB702A"/>
    <w:rsid w:val="31F05121"/>
    <w:rsid w:val="3260311D"/>
    <w:rsid w:val="346C73E9"/>
    <w:rsid w:val="34AD629E"/>
    <w:rsid w:val="36C6693A"/>
    <w:rsid w:val="3A05215E"/>
    <w:rsid w:val="3C884672"/>
    <w:rsid w:val="3E4B578D"/>
    <w:rsid w:val="3F9C2859"/>
    <w:rsid w:val="410A1DE9"/>
    <w:rsid w:val="422E0EB2"/>
    <w:rsid w:val="43753685"/>
    <w:rsid w:val="437E14BA"/>
    <w:rsid w:val="43F536CA"/>
    <w:rsid w:val="440D0713"/>
    <w:rsid w:val="44C21F84"/>
    <w:rsid w:val="45317933"/>
    <w:rsid w:val="45C56374"/>
    <w:rsid w:val="46FE32F6"/>
    <w:rsid w:val="47E3373E"/>
    <w:rsid w:val="487672AB"/>
    <w:rsid w:val="49DE5D8E"/>
    <w:rsid w:val="49EA297D"/>
    <w:rsid w:val="4B9A1F7E"/>
    <w:rsid w:val="4D3B6F14"/>
    <w:rsid w:val="4E4B0170"/>
    <w:rsid w:val="51674C30"/>
    <w:rsid w:val="51CE7584"/>
    <w:rsid w:val="52655E2A"/>
    <w:rsid w:val="548E2CF0"/>
    <w:rsid w:val="54B24092"/>
    <w:rsid w:val="55596B3F"/>
    <w:rsid w:val="56F96B3F"/>
    <w:rsid w:val="57B41322"/>
    <w:rsid w:val="585B2B4F"/>
    <w:rsid w:val="5A760A33"/>
    <w:rsid w:val="5AE43550"/>
    <w:rsid w:val="5BE44A56"/>
    <w:rsid w:val="5C3A5C85"/>
    <w:rsid w:val="5D3F13AF"/>
    <w:rsid w:val="5DAA7520"/>
    <w:rsid w:val="5DFF0470"/>
    <w:rsid w:val="61B7414B"/>
    <w:rsid w:val="64AD102D"/>
    <w:rsid w:val="64BB4A6A"/>
    <w:rsid w:val="651215D6"/>
    <w:rsid w:val="654D29E7"/>
    <w:rsid w:val="659E7277"/>
    <w:rsid w:val="667766EE"/>
    <w:rsid w:val="668164AE"/>
    <w:rsid w:val="695662AB"/>
    <w:rsid w:val="6ADC0FDD"/>
    <w:rsid w:val="6B555150"/>
    <w:rsid w:val="6C5C1415"/>
    <w:rsid w:val="6DED3465"/>
    <w:rsid w:val="6F3A327C"/>
    <w:rsid w:val="6F5A388D"/>
    <w:rsid w:val="6FB816A8"/>
    <w:rsid w:val="70CC73EA"/>
    <w:rsid w:val="71301204"/>
    <w:rsid w:val="739577D9"/>
    <w:rsid w:val="75DA6E16"/>
    <w:rsid w:val="7AE41E25"/>
    <w:rsid w:val="7B1A3CB4"/>
    <w:rsid w:val="7C0A271D"/>
    <w:rsid w:val="7CD4177A"/>
    <w:rsid w:val="7FC4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520" w:lineRule="exact"/>
    </w:pPr>
    <w:rPr>
      <w:rFonts w:asciiTheme="minorHAnsi" w:hAnsiTheme="minorHAnsi" w:eastAsiaTheme="minorEastAsia" w:cstheme="minorBidi"/>
      <w:lang w:val="en-US" w:eastAsia="zh-CN" w:bidi="ar-SA"/>
    </w:rPr>
  </w:style>
  <w:style w:type="paragraph" w:styleId="2">
    <w:name w:val="heading 1"/>
    <w:basedOn w:val="1"/>
    <w:next w:val="1"/>
    <w:link w:val="129"/>
    <w:qFormat/>
    <w:uiPriority w:val="9"/>
    <w:pPr>
      <w:keepNext/>
      <w:keepLines/>
      <w:spacing w:before="320" w:after="0" w:line="240" w:lineRule="auto"/>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20"/>
    <w:unhideWhenUsed/>
    <w:qFormat/>
    <w:uiPriority w:val="9"/>
    <w:pPr>
      <w:keepNext/>
      <w:keepLines/>
      <w:spacing w:before="80" w:after="0" w:line="240" w:lineRule="auto"/>
      <w:outlineLvl w:val="1"/>
    </w:pPr>
    <w:rPr>
      <w:rFonts w:asciiTheme="majorHAnsi" w:hAnsiTheme="majorHAnsi" w:eastAsiaTheme="majorEastAsia" w:cstheme="majorBidi"/>
      <w:color w:val="404040" w:themeColor="text1" w:themeTint="BF"/>
      <w:sz w:val="28"/>
      <w:szCs w:val="28"/>
      <w14:textFill>
        <w14:solidFill>
          <w14:schemeClr w14:val="tx1">
            <w14:lumMod w14:val="75000"/>
            <w14:lumOff w14:val="25000"/>
          </w14:schemeClr>
        </w14:solidFill>
      </w14:textFill>
    </w:rPr>
  </w:style>
  <w:style w:type="paragraph" w:styleId="4">
    <w:name w:val="heading 3"/>
    <w:basedOn w:val="1"/>
    <w:next w:val="1"/>
    <w:link w:val="113"/>
    <w:unhideWhenUsed/>
    <w:qFormat/>
    <w:uiPriority w:val="9"/>
    <w:pPr>
      <w:keepNext/>
      <w:keepLines/>
      <w:spacing w:before="40" w:after="0" w:line="240" w:lineRule="auto"/>
      <w:outlineLvl w:val="2"/>
    </w:pPr>
    <w:rPr>
      <w:rFonts w:asciiTheme="majorHAnsi" w:hAnsiTheme="majorHAnsi" w:eastAsiaTheme="majorEastAsia" w:cstheme="majorBidi"/>
      <w:color w:val="1F497D" w:themeColor="text2"/>
      <w:sz w:val="24"/>
      <w:szCs w:val="24"/>
      <w14:textFill>
        <w14:solidFill>
          <w14:schemeClr w14:val="tx2"/>
        </w14:solidFill>
      </w14:textFill>
    </w:rPr>
  </w:style>
  <w:style w:type="paragraph" w:styleId="5">
    <w:name w:val="heading 4"/>
    <w:basedOn w:val="1"/>
    <w:next w:val="1"/>
    <w:link w:val="132"/>
    <w:unhideWhenUsed/>
    <w:qFormat/>
    <w:uiPriority w:val="9"/>
    <w:pPr>
      <w:keepNext/>
      <w:keepLines/>
      <w:spacing w:before="40" w:after="0"/>
      <w:outlineLvl w:val="3"/>
    </w:pPr>
    <w:rPr>
      <w:rFonts w:asciiTheme="majorHAnsi" w:hAnsiTheme="majorHAnsi" w:eastAsiaTheme="majorEastAsia" w:cstheme="majorBidi"/>
      <w:sz w:val="22"/>
      <w:szCs w:val="22"/>
    </w:rPr>
  </w:style>
  <w:style w:type="paragraph" w:styleId="6">
    <w:name w:val="heading 5"/>
    <w:basedOn w:val="1"/>
    <w:next w:val="1"/>
    <w:link w:val="137"/>
    <w:unhideWhenUsed/>
    <w:qFormat/>
    <w:uiPriority w:val="9"/>
    <w:pPr>
      <w:keepNext/>
      <w:keepLines/>
      <w:spacing w:before="40" w:after="0"/>
      <w:outlineLvl w:val="4"/>
    </w:pPr>
    <w:rPr>
      <w:rFonts w:asciiTheme="majorHAnsi" w:hAnsiTheme="majorHAnsi" w:eastAsiaTheme="majorEastAsia" w:cstheme="majorBidi"/>
      <w:color w:val="1F497D" w:themeColor="text2"/>
      <w:sz w:val="22"/>
      <w:szCs w:val="22"/>
      <w14:textFill>
        <w14:solidFill>
          <w14:schemeClr w14:val="tx2"/>
        </w14:solidFill>
      </w14:textFill>
    </w:rPr>
  </w:style>
  <w:style w:type="paragraph" w:styleId="7">
    <w:name w:val="heading 6"/>
    <w:basedOn w:val="1"/>
    <w:next w:val="1"/>
    <w:link w:val="138"/>
    <w:unhideWhenUsed/>
    <w:qFormat/>
    <w:uiPriority w:val="9"/>
    <w:pPr>
      <w:keepNext/>
      <w:keepLines/>
      <w:spacing w:before="40" w:after="0"/>
      <w:outlineLvl w:val="5"/>
    </w:pPr>
    <w:rPr>
      <w:rFonts w:asciiTheme="majorHAnsi" w:hAnsiTheme="majorHAnsi" w:eastAsiaTheme="majorEastAsia" w:cstheme="majorBidi"/>
      <w:i/>
      <w:iCs/>
      <w:color w:val="1F497D" w:themeColor="text2"/>
      <w:sz w:val="21"/>
      <w:szCs w:val="21"/>
      <w14:textFill>
        <w14:solidFill>
          <w14:schemeClr w14:val="tx2"/>
        </w14:solidFill>
      </w14:textFill>
    </w:rPr>
  </w:style>
  <w:style w:type="paragraph" w:styleId="8">
    <w:name w:val="heading 7"/>
    <w:basedOn w:val="1"/>
    <w:next w:val="1"/>
    <w:link w:val="139"/>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sz w:val="21"/>
      <w:szCs w:val="21"/>
    </w:rPr>
  </w:style>
  <w:style w:type="paragraph" w:styleId="9">
    <w:name w:val="heading 8"/>
    <w:basedOn w:val="1"/>
    <w:next w:val="1"/>
    <w:link w:val="140"/>
    <w:unhideWhenUsed/>
    <w:qFormat/>
    <w:uiPriority w:val="9"/>
    <w:pPr>
      <w:keepNext/>
      <w:keepLines/>
      <w:spacing w:before="40" w:after="0"/>
      <w:outlineLvl w:val="7"/>
    </w:pPr>
    <w:rPr>
      <w:rFonts w:asciiTheme="majorHAnsi" w:hAnsiTheme="majorHAnsi" w:eastAsiaTheme="majorEastAsia" w:cstheme="majorBidi"/>
      <w:b/>
      <w:bCs/>
      <w:color w:val="1F497D" w:themeColor="text2"/>
      <w14:textFill>
        <w14:solidFill>
          <w14:schemeClr w14:val="tx2"/>
        </w14:solidFill>
      </w14:textFill>
    </w:rPr>
  </w:style>
  <w:style w:type="paragraph" w:styleId="10">
    <w:name w:val="heading 9"/>
    <w:basedOn w:val="1"/>
    <w:next w:val="1"/>
    <w:link w:val="141"/>
    <w:unhideWhenUsed/>
    <w:qFormat/>
    <w:uiPriority w:val="9"/>
    <w:pPr>
      <w:keepNext/>
      <w:keepLines/>
      <w:spacing w:before="40" w:after="0"/>
      <w:outlineLvl w:val="8"/>
    </w:pPr>
    <w:rPr>
      <w:rFonts w:asciiTheme="majorHAnsi" w:hAnsiTheme="majorHAnsi" w:eastAsiaTheme="majorEastAsia" w:cstheme="majorBidi"/>
      <w:b/>
      <w:bCs/>
      <w:i/>
      <w:iCs/>
      <w:color w:val="1F497D" w:themeColor="text2"/>
      <w14:textFill>
        <w14:solidFill>
          <w14:schemeClr w14:val="tx2"/>
        </w14:solidFill>
      </w14:textFill>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pPr>
    <w:rPr>
      <w:rFonts w:ascii="Calibri" w:hAnsi="Calibri"/>
      <w:sz w:val="18"/>
      <w:szCs w:val="18"/>
    </w:rPr>
  </w:style>
  <w:style w:type="paragraph" w:styleId="12">
    <w:name w:val="Normal Indent"/>
    <w:basedOn w:val="1"/>
    <w:qFormat/>
    <w:uiPriority w:val="0"/>
    <w:pPr>
      <w:adjustRightInd w:val="0"/>
      <w:spacing w:line="312" w:lineRule="atLeast"/>
      <w:ind w:firstLine="420"/>
      <w:textAlignment w:val="baseline"/>
    </w:pPr>
  </w:style>
  <w:style w:type="paragraph" w:styleId="13">
    <w:name w:val="caption"/>
    <w:basedOn w:val="1"/>
    <w:next w:val="1"/>
    <w:unhideWhenUsed/>
    <w:qFormat/>
    <w:uiPriority w:val="35"/>
    <w:pPr>
      <w:spacing w:line="240" w:lineRule="auto"/>
    </w:pPr>
    <w:rPr>
      <w:b/>
      <w:bCs/>
      <w:smallCaps/>
      <w:color w:val="595959" w:themeColor="text1" w:themeTint="A6"/>
      <w:spacing w:val="6"/>
      <w14:textFill>
        <w14:solidFill>
          <w14:schemeClr w14:val="tx1">
            <w14:lumMod w14:val="65000"/>
            <w14:lumOff w14:val="35000"/>
          </w14:schemeClr>
        </w14:solidFill>
      </w14:textFill>
    </w:rPr>
  </w:style>
  <w:style w:type="paragraph" w:styleId="14">
    <w:name w:val="List Bullet"/>
    <w:basedOn w:val="1"/>
    <w:qFormat/>
    <w:uiPriority w:val="0"/>
    <w:pPr>
      <w:tabs>
        <w:tab w:val="left" w:pos="748"/>
      </w:tabs>
      <w:spacing w:line="360" w:lineRule="auto"/>
      <w:ind w:left="748" w:hanging="374"/>
    </w:pPr>
  </w:style>
  <w:style w:type="paragraph" w:styleId="15">
    <w:name w:val="Document Map"/>
    <w:basedOn w:val="1"/>
    <w:link w:val="128"/>
    <w:unhideWhenUsed/>
    <w:qFormat/>
    <w:uiPriority w:val="99"/>
    <w:rPr>
      <w:rFonts w:ascii="宋体"/>
      <w:sz w:val="18"/>
      <w:szCs w:val="18"/>
    </w:rPr>
  </w:style>
  <w:style w:type="paragraph" w:styleId="16">
    <w:name w:val="annotation text"/>
    <w:basedOn w:val="1"/>
    <w:link w:val="127"/>
    <w:qFormat/>
    <w:uiPriority w:val="0"/>
    <w:pPr>
      <w:adjustRightInd w:val="0"/>
      <w:spacing w:line="360" w:lineRule="atLeast"/>
      <w:textAlignment w:val="baseline"/>
    </w:pPr>
    <w:rPr>
      <w:rFonts w:ascii="宋体"/>
      <w:szCs w:val="21"/>
    </w:rPr>
  </w:style>
  <w:style w:type="paragraph" w:styleId="17">
    <w:name w:val="Body Text"/>
    <w:basedOn w:val="1"/>
    <w:link w:val="108"/>
    <w:qFormat/>
    <w:uiPriority w:val="0"/>
    <w:pPr>
      <w:tabs>
        <w:tab w:val="left" w:pos="720"/>
      </w:tabs>
      <w:spacing w:before="60" w:after="60"/>
    </w:pPr>
    <w:rPr>
      <w:sz w:val="24"/>
    </w:rPr>
  </w:style>
  <w:style w:type="paragraph" w:styleId="18">
    <w:name w:val="toc 5"/>
    <w:basedOn w:val="1"/>
    <w:next w:val="1"/>
    <w:qFormat/>
    <w:uiPriority w:val="39"/>
    <w:pPr>
      <w:ind w:left="840"/>
    </w:pPr>
    <w:rPr>
      <w:rFonts w:ascii="Calibri" w:hAnsi="Calibri"/>
      <w:sz w:val="18"/>
      <w:szCs w:val="18"/>
    </w:rPr>
  </w:style>
  <w:style w:type="paragraph" w:styleId="19">
    <w:name w:val="toc 3"/>
    <w:basedOn w:val="1"/>
    <w:next w:val="1"/>
    <w:qFormat/>
    <w:uiPriority w:val="39"/>
    <w:pPr>
      <w:ind w:left="420"/>
    </w:pPr>
    <w:rPr>
      <w:rFonts w:ascii="Calibri" w:hAnsi="Calibri"/>
      <w:i/>
      <w:iCs/>
    </w:rPr>
  </w:style>
  <w:style w:type="paragraph" w:styleId="20">
    <w:name w:val="Plain Text"/>
    <w:basedOn w:val="1"/>
    <w:link w:val="134"/>
    <w:qFormat/>
    <w:uiPriority w:val="0"/>
    <w:pPr>
      <w:spacing w:line="360" w:lineRule="auto"/>
    </w:pPr>
    <w:rPr>
      <w:rFonts w:ascii="Courier New" w:hAnsi="Courier New"/>
      <w:sz w:val="24"/>
    </w:rPr>
  </w:style>
  <w:style w:type="paragraph" w:styleId="21">
    <w:name w:val="toc 8"/>
    <w:basedOn w:val="1"/>
    <w:next w:val="1"/>
    <w:qFormat/>
    <w:uiPriority w:val="39"/>
    <w:pPr>
      <w:ind w:left="1470"/>
    </w:pPr>
    <w:rPr>
      <w:rFonts w:ascii="Calibri" w:hAnsi="Calibri"/>
      <w:sz w:val="18"/>
      <w:szCs w:val="18"/>
    </w:rPr>
  </w:style>
  <w:style w:type="paragraph" w:styleId="22">
    <w:name w:val="Balloon Text"/>
    <w:basedOn w:val="1"/>
    <w:link w:val="123"/>
    <w:unhideWhenUsed/>
    <w:qFormat/>
    <w:uiPriority w:val="99"/>
    <w:rPr>
      <w:sz w:val="18"/>
      <w:szCs w:val="18"/>
    </w:rPr>
  </w:style>
  <w:style w:type="paragraph" w:styleId="23">
    <w:name w:val="footer"/>
    <w:basedOn w:val="1"/>
    <w:link w:val="112"/>
    <w:qFormat/>
    <w:uiPriority w:val="99"/>
    <w:pPr>
      <w:tabs>
        <w:tab w:val="center" w:pos="4153"/>
        <w:tab w:val="right" w:pos="8306"/>
      </w:tabs>
      <w:adjustRightInd w:val="0"/>
      <w:spacing w:line="240" w:lineRule="atLeast"/>
      <w:textAlignment w:val="baseline"/>
    </w:pPr>
    <w:rPr>
      <w:sz w:val="18"/>
    </w:rPr>
  </w:style>
  <w:style w:type="paragraph" w:styleId="24">
    <w:name w:val="header"/>
    <w:basedOn w:val="1"/>
    <w:link w:val="110"/>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39"/>
    <w:pPr>
      <w:ind w:left="630"/>
    </w:pPr>
    <w:rPr>
      <w:rFonts w:ascii="Calibri" w:hAnsi="Calibri"/>
      <w:sz w:val="18"/>
      <w:szCs w:val="18"/>
    </w:rPr>
  </w:style>
  <w:style w:type="paragraph" w:styleId="27">
    <w:name w:val="Subtitle"/>
    <w:basedOn w:val="1"/>
    <w:next w:val="1"/>
    <w:link w:val="142"/>
    <w:qFormat/>
    <w:uiPriority w:val="11"/>
    <w:pPr>
      <w:spacing w:line="240" w:lineRule="auto"/>
    </w:pPr>
    <w:rPr>
      <w:rFonts w:asciiTheme="majorHAnsi" w:hAnsiTheme="majorHAnsi" w:eastAsiaTheme="majorEastAsia" w:cstheme="majorBidi"/>
      <w:sz w:val="24"/>
      <w:szCs w:val="24"/>
    </w:rPr>
  </w:style>
  <w:style w:type="paragraph" w:styleId="28">
    <w:name w:val="toc 6"/>
    <w:basedOn w:val="1"/>
    <w:next w:val="1"/>
    <w:qFormat/>
    <w:uiPriority w:val="39"/>
    <w:pPr>
      <w:ind w:left="1050"/>
    </w:pPr>
    <w:rPr>
      <w:rFonts w:ascii="Calibri" w:hAnsi="Calibri"/>
      <w:sz w:val="18"/>
      <w:szCs w:val="18"/>
    </w:rPr>
  </w:style>
  <w:style w:type="paragraph" w:styleId="29">
    <w:name w:val="toc 2"/>
    <w:basedOn w:val="1"/>
    <w:next w:val="1"/>
    <w:qFormat/>
    <w:uiPriority w:val="39"/>
    <w:pPr>
      <w:ind w:left="210"/>
    </w:pPr>
    <w:rPr>
      <w:rFonts w:ascii="Calibri" w:hAnsi="Calibri"/>
      <w:smallCaps/>
    </w:rPr>
  </w:style>
  <w:style w:type="paragraph" w:styleId="30">
    <w:name w:val="toc 9"/>
    <w:basedOn w:val="1"/>
    <w:next w:val="1"/>
    <w:qFormat/>
    <w:uiPriority w:val="39"/>
    <w:pPr>
      <w:ind w:left="1680"/>
    </w:pPr>
    <w:rPr>
      <w:rFonts w:ascii="Calibri" w:hAnsi="Calibri"/>
      <w:sz w:val="18"/>
      <w:szCs w:val="18"/>
    </w:rPr>
  </w:style>
  <w:style w:type="paragraph" w:styleId="31">
    <w:name w:val="Normal (Web)"/>
    <w:basedOn w:val="1"/>
    <w:unhideWhenUsed/>
    <w:qFormat/>
    <w:uiPriority w:val="99"/>
    <w:pPr>
      <w:wordWrap w:val="0"/>
      <w:spacing w:before="100" w:beforeAutospacing="1" w:after="100" w:afterAutospacing="1"/>
    </w:pPr>
    <w:rPr>
      <w:rFonts w:ascii="宋体" w:hAnsi="宋体" w:cs="宋体"/>
      <w:sz w:val="24"/>
    </w:rPr>
  </w:style>
  <w:style w:type="paragraph" w:styleId="32">
    <w:name w:val="Title"/>
    <w:basedOn w:val="1"/>
    <w:next w:val="1"/>
    <w:link w:val="122"/>
    <w:qFormat/>
    <w:uiPriority w:val="10"/>
    <w:pPr>
      <w:spacing w:after="0" w:line="240" w:lineRule="auto"/>
      <w:contextualSpacing/>
    </w:pPr>
    <w:rPr>
      <w:rFonts w:asciiTheme="majorHAnsi" w:hAnsiTheme="majorHAnsi" w:eastAsiaTheme="majorEastAsia" w:cstheme="majorBidi"/>
      <w:color w:val="4F81BD" w:themeColor="accent1"/>
      <w:spacing w:val="-10"/>
      <w:sz w:val="56"/>
      <w:szCs w:val="56"/>
      <w14:textFill>
        <w14:solidFill>
          <w14:schemeClr w14:val="accent1"/>
        </w14:solidFill>
      </w14:textFill>
    </w:rPr>
  </w:style>
  <w:style w:type="paragraph" w:styleId="33">
    <w:name w:val="annotation subject"/>
    <w:basedOn w:val="16"/>
    <w:next w:val="16"/>
    <w:link w:val="154"/>
    <w:unhideWhenUsed/>
    <w:qFormat/>
    <w:uiPriority w:val="99"/>
    <w:pPr>
      <w:adjustRightInd/>
      <w:spacing w:line="264" w:lineRule="auto"/>
      <w:textAlignment w:val="auto"/>
    </w:pPr>
    <w:rPr>
      <w:rFonts w:asciiTheme="minorHAnsi"/>
      <w:b/>
      <w:bCs/>
      <w:szCs w:val="20"/>
    </w:rPr>
  </w:style>
  <w:style w:type="table" w:styleId="35">
    <w:name w:val="Table Grid"/>
    <w:basedOn w:val="34"/>
    <w:qFormat/>
    <w:uiPriority w:val="5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page number"/>
    <w:qFormat/>
    <w:uiPriority w:val="0"/>
  </w:style>
  <w:style w:type="character" w:styleId="39">
    <w:name w:val="FollowedHyperlink"/>
    <w:qFormat/>
    <w:uiPriority w:val="0"/>
    <w:rPr>
      <w:color w:val="800080"/>
      <w:u w:val="single"/>
    </w:rPr>
  </w:style>
  <w:style w:type="character" w:styleId="40">
    <w:name w:val="Emphasis"/>
    <w:basedOn w:val="36"/>
    <w:qFormat/>
    <w:uiPriority w:val="20"/>
    <w:rPr>
      <w:i/>
      <w:iCs/>
    </w:rPr>
  </w:style>
  <w:style w:type="character" w:styleId="41">
    <w:name w:val="Hyperlink"/>
    <w:basedOn w:val="36"/>
    <w:qFormat/>
    <w:uiPriority w:val="99"/>
  </w:style>
  <w:style w:type="character" w:styleId="42">
    <w:name w:val="annotation reference"/>
    <w:basedOn w:val="36"/>
    <w:unhideWhenUsed/>
    <w:qFormat/>
    <w:uiPriority w:val="99"/>
    <w:rPr>
      <w:sz w:val="21"/>
      <w:szCs w:val="21"/>
    </w:rPr>
  </w:style>
  <w:style w:type="paragraph" w:customStyle="1" w:styleId="43">
    <w:name w:val="_Display Text"/>
    <w:qFormat/>
    <w:uiPriority w:val="0"/>
    <w:pPr>
      <w:spacing w:after="120" w:line="520" w:lineRule="exact"/>
    </w:pPr>
    <w:rPr>
      <w:rFonts w:ascii="Arial" w:hAnsi="Arial" w:eastAsiaTheme="minorEastAsia" w:cstheme="minorBidi"/>
      <w:sz w:val="24"/>
      <w:szCs w:val="22"/>
      <w:lang w:val="en-US" w:eastAsia="zh-CN" w:bidi="ar-SA"/>
    </w:rPr>
  </w:style>
  <w:style w:type="paragraph" w:customStyle="1" w:styleId="44">
    <w:name w:val="标题 81"/>
    <w:basedOn w:val="1"/>
    <w:next w:val="1"/>
    <w:qFormat/>
    <w:uiPriority w:val="0"/>
    <w:pPr>
      <w:keepNext/>
      <w:keepLines/>
      <w:adjustRightInd w:val="0"/>
      <w:spacing w:before="240" w:after="64" w:line="320" w:lineRule="atLeast"/>
      <w:textAlignment w:val="baseline"/>
      <w:outlineLvl w:val="7"/>
    </w:pPr>
    <w:rPr>
      <w:rFonts w:ascii="Arial" w:hAnsi="Arial" w:eastAsia="黑体"/>
      <w:sz w:val="24"/>
    </w:rPr>
  </w:style>
  <w:style w:type="paragraph" w:customStyle="1" w:styleId="45">
    <w:name w:val="表格文字"/>
    <w:basedOn w:val="1"/>
    <w:qFormat/>
    <w:uiPriority w:val="0"/>
    <w:pPr>
      <w:adjustRightInd w:val="0"/>
    </w:pPr>
    <w:rPr>
      <w:rFonts w:eastAsia="仿宋_GB2312"/>
      <w:sz w:val="24"/>
      <w:szCs w:val="21"/>
    </w:rPr>
  </w:style>
  <w:style w:type="paragraph" w:customStyle="1" w:styleId="46">
    <w:name w:val="缺省文本"/>
    <w:basedOn w:val="1"/>
    <w:qFormat/>
    <w:uiPriority w:val="0"/>
    <w:pPr>
      <w:numPr>
        <w:ilvl w:val="0"/>
        <w:numId w:val="1"/>
      </w:numPr>
      <w:overflowPunct w:val="0"/>
      <w:autoSpaceDE w:val="0"/>
      <w:autoSpaceDN w:val="0"/>
      <w:adjustRightInd w:val="0"/>
      <w:snapToGrid w:val="0"/>
      <w:spacing w:line="360" w:lineRule="auto"/>
      <w:textAlignment w:val="baseline"/>
    </w:pPr>
    <w:rPr>
      <w:sz w:val="24"/>
    </w:rPr>
  </w:style>
  <w:style w:type="paragraph" w:customStyle="1" w:styleId="47">
    <w:name w:val="标题 21"/>
    <w:basedOn w:val="1"/>
    <w:next w:val="48"/>
    <w:qFormat/>
    <w:uiPriority w:val="0"/>
    <w:pPr>
      <w:tabs>
        <w:tab w:val="left" w:pos="851"/>
      </w:tabs>
      <w:spacing w:line="360" w:lineRule="auto"/>
      <w:ind w:left="851" w:hanging="851"/>
      <w:outlineLvl w:val="1"/>
    </w:pPr>
    <w:rPr>
      <w:rFonts w:ascii="宋体" w:hAnsi="宋体"/>
      <w:sz w:val="24"/>
    </w:rPr>
  </w:style>
  <w:style w:type="paragraph" w:customStyle="1" w:styleId="48">
    <w:name w:val="正文缩进1"/>
    <w:basedOn w:val="1"/>
    <w:link w:val="117"/>
    <w:qFormat/>
    <w:uiPriority w:val="0"/>
    <w:pPr>
      <w:adjustRightInd w:val="0"/>
      <w:spacing w:line="312" w:lineRule="atLeast"/>
      <w:ind w:firstLine="420"/>
      <w:textAlignment w:val="baseline"/>
    </w:pPr>
  </w:style>
  <w:style w:type="paragraph" w:customStyle="1" w:styleId="49">
    <w:name w:val="1"/>
    <w:basedOn w:val="1"/>
    <w:qFormat/>
    <w:uiPriority w:val="0"/>
    <w:rPr>
      <w:rFonts w:ascii="Tahoma" w:hAnsi="Tahoma"/>
      <w:sz w:val="24"/>
    </w:rPr>
  </w:style>
  <w:style w:type="paragraph" w:customStyle="1" w:styleId="50">
    <w:name w:val="ÕýÎÄÊ×ÐÐËõ½ø"/>
    <w:basedOn w:val="1"/>
    <w:qFormat/>
    <w:uiPriority w:val="0"/>
    <w:pPr>
      <w:overflowPunct w:val="0"/>
      <w:autoSpaceDE w:val="0"/>
      <w:autoSpaceDN w:val="0"/>
      <w:adjustRightInd w:val="0"/>
      <w:spacing w:line="360" w:lineRule="auto"/>
      <w:ind w:left="1134"/>
      <w:textAlignment w:val="baseline"/>
    </w:pPr>
    <w:rPr>
      <w:rFonts w:eastAsia="Times New Roman"/>
    </w:rPr>
  </w:style>
  <w:style w:type="paragraph" w:customStyle="1" w:styleId="51">
    <w:name w:val="文本块1"/>
    <w:basedOn w:val="1"/>
    <w:qFormat/>
    <w:uiPriority w:val="0"/>
    <w:pPr>
      <w:spacing w:before="60" w:after="60" w:line="360" w:lineRule="auto"/>
      <w:ind w:left="540" w:leftChars="257" w:right="202" w:firstLine="480"/>
    </w:pPr>
    <w:rPr>
      <w:rFonts w:ascii="仿宋_GB2312" w:eastAsia="仿宋_GB2312"/>
      <w:color w:val="000000"/>
      <w:sz w:val="24"/>
    </w:rPr>
  </w:style>
  <w:style w:type="paragraph" w:customStyle="1" w:styleId="52">
    <w:name w:val="yu正文"/>
    <w:basedOn w:val="1"/>
    <w:link w:val="116"/>
    <w:qFormat/>
    <w:uiPriority w:val="0"/>
    <w:pPr>
      <w:spacing w:line="360" w:lineRule="auto"/>
      <w:ind w:firstLine="480" w:firstLineChars="200"/>
    </w:pPr>
    <w:rPr>
      <w:rFonts w:ascii="仿宋_GB2312" w:eastAsia="仿宋_GB2312"/>
      <w:sz w:val="24"/>
    </w:rPr>
  </w:style>
  <w:style w:type="paragraph" w:customStyle="1" w:styleId="53">
    <w:name w:val="标题03"/>
    <w:basedOn w:val="54"/>
    <w:qFormat/>
    <w:uiPriority w:val="0"/>
    <w:pPr>
      <w:tabs>
        <w:tab w:val="left" w:pos="567"/>
        <w:tab w:val="left" w:pos="709"/>
      </w:tabs>
    </w:pPr>
    <w:rPr>
      <w:rFonts w:ascii="宋体" w:hAnsi="宋体"/>
      <w:bCs w:val="0"/>
      <w:sz w:val="32"/>
      <w:szCs w:val="32"/>
    </w:rPr>
  </w:style>
  <w:style w:type="paragraph" w:customStyle="1" w:styleId="54">
    <w:name w:val="标题 31"/>
    <w:basedOn w:val="1"/>
    <w:next w:val="1"/>
    <w:qFormat/>
    <w:uiPriority w:val="0"/>
    <w:pPr>
      <w:keepNext/>
      <w:keepLines/>
      <w:numPr>
        <w:ilvl w:val="2"/>
        <w:numId w:val="2"/>
      </w:numPr>
      <w:tabs>
        <w:tab w:val="left" w:pos="567"/>
        <w:tab w:val="clear" w:pos="709"/>
      </w:tabs>
      <w:spacing w:before="120" w:line="360" w:lineRule="auto"/>
      <w:outlineLvl w:val="2"/>
    </w:pPr>
    <w:rPr>
      <w:rFonts w:eastAsia="黑体"/>
      <w:bCs/>
      <w:sz w:val="24"/>
    </w:rPr>
  </w:style>
  <w:style w:type="paragraph" w:customStyle="1" w:styleId="55">
    <w:name w:val="标题 11"/>
    <w:basedOn w:val="1"/>
    <w:next w:val="1"/>
    <w:qFormat/>
    <w:uiPriority w:val="0"/>
    <w:pPr>
      <w:keepNext/>
      <w:keepLines/>
      <w:numPr>
        <w:ilvl w:val="0"/>
        <w:numId w:val="3"/>
      </w:numPr>
      <w:spacing w:before="120" w:line="360" w:lineRule="auto"/>
      <w:outlineLvl w:val="0"/>
    </w:pPr>
    <w:rPr>
      <w:rFonts w:ascii="仿宋_GB2312" w:hAnsi="宋体" w:eastAsia="仿宋_GB2312"/>
      <w:b/>
      <w:bCs/>
      <w:sz w:val="32"/>
      <w:szCs w:val="32"/>
    </w:rPr>
  </w:style>
  <w:style w:type="paragraph" w:customStyle="1" w:styleId="56">
    <w:name w:val="文档结构图1"/>
    <w:basedOn w:val="1"/>
    <w:qFormat/>
    <w:uiPriority w:val="0"/>
    <w:pPr>
      <w:shd w:val="clear" w:color="auto" w:fill="000080"/>
    </w:pPr>
  </w:style>
  <w:style w:type="paragraph" w:customStyle="1" w:styleId="57">
    <w:name w:val="标题04"/>
    <w:basedOn w:val="58"/>
    <w:qFormat/>
    <w:uiPriority w:val="0"/>
    <w:pPr>
      <w:numPr>
        <w:ilvl w:val="0"/>
        <w:numId w:val="0"/>
      </w:numPr>
      <w:tabs>
        <w:tab w:val="left" w:pos="567"/>
        <w:tab w:val="left" w:pos="851"/>
      </w:tabs>
      <w:spacing w:beforeLines="50" w:afterLines="50"/>
      <w:ind w:left="851" w:right="238" w:hanging="851"/>
    </w:pPr>
    <w:rPr>
      <w:rFonts w:eastAsia="宋体"/>
      <w:bCs w:val="0"/>
      <w:sz w:val="30"/>
      <w:szCs w:val="28"/>
    </w:rPr>
  </w:style>
  <w:style w:type="paragraph" w:customStyle="1" w:styleId="58">
    <w:name w:val="标题 41"/>
    <w:basedOn w:val="1"/>
    <w:next w:val="1"/>
    <w:qFormat/>
    <w:uiPriority w:val="0"/>
    <w:pPr>
      <w:keepNext/>
      <w:keepLines/>
      <w:numPr>
        <w:ilvl w:val="3"/>
        <w:numId w:val="2"/>
      </w:numPr>
      <w:tabs>
        <w:tab w:val="left" w:pos="567"/>
        <w:tab w:val="clear" w:pos="851"/>
      </w:tabs>
      <w:spacing w:before="120" w:line="360" w:lineRule="auto"/>
      <w:outlineLvl w:val="3"/>
    </w:pPr>
    <w:rPr>
      <w:rFonts w:ascii="Arial" w:hAnsi="Arial" w:eastAsia="黑体"/>
      <w:bCs/>
      <w:sz w:val="24"/>
    </w:rPr>
  </w:style>
  <w:style w:type="paragraph" w:customStyle="1" w:styleId="59">
    <w:name w:val="正文文本缩进 31"/>
    <w:basedOn w:val="1"/>
    <w:qFormat/>
    <w:uiPriority w:val="0"/>
    <w:pPr>
      <w:ind w:left="420" w:leftChars="200"/>
    </w:pPr>
    <w:rPr>
      <w:sz w:val="16"/>
      <w:szCs w:val="16"/>
    </w:rPr>
  </w:style>
  <w:style w:type="paragraph" w:customStyle="1" w:styleId="60">
    <w:name w:val="正文文本缩进 21"/>
    <w:basedOn w:val="1"/>
    <w:qFormat/>
    <w:uiPriority w:val="0"/>
    <w:pPr>
      <w:spacing w:line="480" w:lineRule="auto"/>
      <w:ind w:left="420" w:leftChars="200"/>
    </w:pPr>
  </w:style>
  <w:style w:type="paragraph" w:customStyle="1" w:styleId="61">
    <w:name w:val="标题 1 + 行距: 1.5 倍行距"/>
    <w:basedOn w:val="1"/>
    <w:qFormat/>
    <w:uiPriority w:val="0"/>
    <w:pPr>
      <w:keepNext/>
      <w:keepLines/>
      <w:spacing w:before="340" w:after="330" w:line="360" w:lineRule="auto"/>
      <w:outlineLvl w:val="0"/>
    </w:pPr>
    <w:rPr>
      <w:b/>
      <w:bCs/>
      <w:kern w:val="44"/>
      <w:sz w:val="32"/>
      <w:szCs w:val="44"/>
    </w:rPr>
  </w:style>
  <w:style w:type="paragraph" w:customStyle="1" w:styleId="62">
    <w:name w:val="Char"/>
    <w:basedOn w:val="1"/>
    <w:qFormat/>
    <w:uiPriority w:val="0"/>
    <w:pPr>
      <w:spacing w:after="160" w:line="240" w:lineRule="exact"/>
      <w:ind w:left="-62" w:right="36" w:rightChars="15"/>
    </w:pPr>
    <w:rPr>
      <w:rFonts w:ascii="Arial" w:hAnsi="Arial" w:eastAsia="Times New Roman"/>
      <w:lang w:eastAsia="en-US"/>
    </w:rPr>
  </w:style>
  <w:style w:type="paragraph" w:customStyle="1" w:styleId="63">
    <w:name w:val="hb.1"/>
    <w:basedOn w:val="1"/>
    <w:qFormat/>
    <w:uiPriority w:val="0"/>
    <w:pPr>
      <w:numPr>
        <w:ilvl w:val="1"/>
        <w:numId w:val="4"/>
      </w:numPr>
      <w:tabs>
        <w:tab w:val="left" w:pos="425"/>
        <w:tab w:val="clear" w:pos="992"/>
      </w:tabs>
      <w:spacing w:after="156"/>
    </w:pPr>
    <w:rPr>
      <w:sz w:val="24"/>
    </w:rPr>
  </w:style>
  <w:style w:type="paragraph" w:customStyle="1" w:styleId="64">
    <w:name w:val="样式 目录 3 + 首行缩进:  2 字符 行距: 单倍行距1"/>
    <w:basedOn w:val="19"/>
    <w:qFormat/>
    <w:uiPriority w:val="0"/>
    <w:pPr>
      <w:ind w:left="482" w:firstLine="480"/>
    </w:pPr>
    <w:rPr>
      <w:rFonts w:eastAsia="仿宋_GB2312" w:cs="宋体"/>
      <w:i w:val="0"/>
      <w:iCs w:val="0"/>
      <w:smallCaps/>
      <w:sz w:val="24"/>
    </w:rPr>
  </w:style>
  <w:style w:type="paragraph" w:customStyle="1" w:styleId="65">
    <w:name w:val="标题 91"/>
    <w:basedOn w:val="1"/>
    <w:next w:val="1"/>
    <w:qFormat/>
    <w:uiPriority w:val="0"/>
    <w:pPr>
      <w:keepNext/>
      <w:keepLines/>
      <w:adjustRightInd w:val="0"/>
      <w:spacing w:before="240" w:after="64" w:line="320" w:lineRule="atLeast"/>
      <w:textAlignment w:val="baseline"/>
      <w:outlineLvl w:val="8"/>
    </w:pPr>
    <w:rPr>
      <w:rFonts w:ascii="Arial" w:hAnsi="Arial" w:eastAsia="黑体"/>
    </w:rPr>
  </w:style>
  <w:style w:type="paragraph" w:customStyle="1" w:styleId="66">
    <w:name w:val="普通(网站)1"/>
    <w:basedOn w:val="1"/>
    <w:qFormat/>
    <w:uiPriority w:val="0"/>
    <w:pPr>
      <w:spacing w:line="384" w:lineRule="atLeast"/>
      <w:ind w:firstLine="480"/>
    </w:pPr>
    <w:rPr>
      <w:rFonts w:ascii="宋体" w:hAnsi="宋体" w:cs="宋体"/>
      <w:szCs w:val="21"/>
    </w:rPr>
  </w:style>
  <w:style w:type="paragraph" w:customStyle="1" w:styleId="67">
    <w:name w:val="正文文本 21"/>
    <w:basedOn w:val="1"/>
    <w:qFormat/>
    <w:uiPriority w:val="0"/>
    <w:pPr>
      <w:adjustRightInd w:val="0"/>
      <w:spacing w:line="312" w:lineRule="atLeast"/>
      <w:ind w:firstLine="600"/>
      <w:textAlignment w:val="baseline"/>
    </w:pPr>
    <w:rPr>
      <w:rFonts w:ascii="宋体"/>
      <w:sz w:val="28"/>
    </w:rPr>
  </w:style>
  <w:style w:type="paragraph" w:customStyle="1" w:styleId="68">
    <w:name w:val="样式 目录 3 + 首行缩进:  2 字符"/>
    <w:basedOn w:val="19"/>
    <w:qFormat/>
    <w:uiPriority w:val="0"/>
    <w:pPr>
      <w:ind w:left="482" w:firstLine="400"/>
    </w:pPr>
    <w:rPr>
      <w:rFonts w:eastAsia="仿宋_GB2312" w:cs="宋体"/>
      <w:i w:val="0"/>
      <w:iCs w:val="0"/>
      <w:smallCaps/>
      <w:sz w:val="24"/>
    </w:rPr>
  </w:style>
  <w:style w:type="paragraph" w:customStyle="1" w:styleId="69">
    <w:name w:val="Char Char Char"/>
    <w:basedOn w:val="1"/>
    <w:qFormat/>
    <w:uiPriority w:val="0"/>
    <w:pPr>
      <w:tabs>
        <w:tab w:val="left" w:pos="360"/>
      </w:tabs>
      <w:ind w:hanging="200" w:hangingChars="200"/>
    </w:pPr>
    <w:rPr>
      <w:rFonts w:ascii="Tahoma" w:hAnsi="Tahoma"/>
      <w:sz w:val="24"/>
    </w:rPr>
  </w:style>
  <w:style w:type="paragraph" w:customStyle="1" w:styleId="70">
    <w:name w:val="正文00"/>
    <w:basedOn w:val="48"/>
    <w:qFormat/>
    <w:uiPriority w:val="0"/>
    <w:pPr>
      <w:tabs>
        <w:tab w:val="left" w:pos="0"/>
      </w:tabs>
      <w:adjustRightInd/>
      <w:spacing w:line="360" w:lineRule="auto"/>
      <w:ind w:firstLine="480" w:firstLineChars="200"/>
      <w:textAlignment w:val="auto"/>
    </w:pPr>
    <w:rPr>
      <w:rFonts w:ascii="宋体" w:hAnsi="宋体"/>
      <w:kern w:val="28"/>
      <w:sz w:val="24"/>
      <w:szCs w:val="24"/>
    </w:rPr>
  </w:style>
  <w:style w:type="paragraph" w:customStyle="1" w:styleId="71">
    <w:name w:val="Char Char Char Char Char Char Char"/>
    <w:basedOn w:val="1"/>
    <w:qFormat/>
    <w:uiPriority w:val="0"/>
    <w:pPr>
      <w:spacing w:after="160" w:line="240" w:lineRule="exact"/>
      <w:ind w:left="-62" w:right="36" w:rightChars="15"/>
    </w:pPr>
    <w:rPr>
      <w:rFonts w:ascii="Arial" w:hAnsi="Arial" w:eastAsia="Times New Roman"/>
      <w:lang w:eastAsia="en-US"/>
    </w:rPr>
  </w:style>
  <w:style w:type="paragraph" w:customStyle="1" w:styleId="72">
    <w:name w:val="编写建议"/>
    <w:basedOn w:val="1"/>
    <w:qFormat/>
    <w:uiPriority w:val="0"/>
    <w:pPr>
      <w:autoSpaceDE w:val="0"/>
      <w:autoSpaceDN w:val="0"/>
      <w:adjustRightInd w:val="0"/>
      <w:spacing w:line="360" w:lineRule="auto"/>
      <w:ind w:firstLine="420" w:firstLineChars="200"/>
    </w:pPr>
    <w:rPr>
      <w:rFonts w:ascii="宋体" w:hAnsi="Arial" w:cs="宋体"/>
      <w:i/>
      <w:color w:val="0000FF"/>
      <w:szCs w:val="21"/>
    </w:rPr>
  </w:style>
  <w:style w:type="paragraph" w:customStyle="1" w:styleId="73">
    <w:name w:val="正文1"/>
    <w:qFormat/>
    <w:uiPriority w:val="0"/>
    <w:pPr>
      <w:widowControl w:val="0"/>
      <w:autoSpaceDE w:val="0"/>
      <w:autoSpaceDN w:val="0"/>
      <w:adjustRightInd w:val="0"/>
      <w:spacing w:after="120" w:line="360" w:lineRule="atLeast"/>
      <w:ind w:left="425" w:hanging="425"/>
      <w:textAlignment w:val="bottom"/>
    </w:pPr>
    <w:rPr>
      <w:rFonts w:ascii="宋体" w:hAnsiTheme="minorHAnsi" w:eastAsiaTheme="minorEastAsia" w:cstheme="minorBidi"/>
      <w:position w:val="-6"/>
      <w:sz w:val="32"/>
      <w:lang w:val="en-US" w:eastAsia="zh-CN" w:bidi="ar-SA"/>
    </w:rPr>
  </w:style>
  <w:style w:type="paragraph" w:customStyle="1" w:styleId="74">
    <w:name w:val="标题06"/>
    <w:basedOn w:val="7"/>
    <w:qFormat/>
    <w:uiPriority w:val="0"/>
    <w:pPr>
      <w:tabs>
        <w:tab w:val="left" w:pos="1134"/>
      </w:tabs>
      <w:spacing w:line="360" w:lineRule="auto"/>
      <w:ind w:right="240" w:rightChars="100" w:firstLine="510"/>
    </w:pPr>
    <w:rPr>
      <w:rFonts w:ascii="宋体" w:hAnsi="宋体" w:eastAsia="宋体"/>
      <w:bCs/>
    </w:rPr>
  </w:style>
  <w:style w:type="paragraph" w:customStyle="1" w:styleId="75">
    <w:name w:val="标题 311"/>
    <w:basedOn w:val="73"/>
    <w:next w:val="48"/>
    <w:qFormat/>
    <w:uiPriority w:val="0"/>
    <w:pPr>
      <w:tabs>
        <w:tab w:val="left" w:pos="851"/>
      </w:tabs>
      <w:spacing w:line="360" w:lineRule="auto"/>
      <w:ind w:left="851" w:hanging="851"/>
      <w:jc w:val="both"/>
      <w:textAlignment w:val="baseline"/>
      <w:outlineLvl w:val="2"/>
    </w:pPr>
    <w:rPr>
      <w:kern w:val="2"/>
      <w:position w:val="0"/>
      <w:sz w:val="24"/>
      <w:szCs w:val="24"/>
    </w:rPr>
  </w:style>
  <w:style w:type="paragraph" w:customStyle="1" w:styleId="76">
    <w:name w:val="标题 71"/>
    <w:basedOn w:val="1"/>
    <w:next w:val="1"/>
    <w:qFormat/>
    <w:uiPriority w:val="0"/>
    <w:pPr>
      <w:keepNext/>
      <w:keepLines/>
      <w:adjustRightInd w:val="0"/>
      <w:spacing w:before="240" w:after="64" w:line="320" w:lineRule="atLeast"/>
      <w:textAlignment w:val="baseline"/>
      <w:outlineLvl w:val="6"/>
    </w:pPr>
    <w:rPr>
      <w:b/>
      <w:sz w:val="24"/>
    </w:rPr>
  </w:style>
  <w:style w:type="paragraph" w:customStyle="1" w:styleId="77">
    <w:name w:val="列出段落1"/>
    <w:basedOn w:val="1"/>
    <w:link w:val="125"/>
    <w:qFormat/>
    <w:uiPriority w:val="0"/>
    <w:pPr>
      <w:ind w:firstLine="420" w:firstLineChars="200"/>
    </w:pPr>
  </w:style>
  <w:style w:type="paragraph" w:customStyle="1" w:styleId="78">
    <w:name w:val="标题01"/>
    <w:basedOn w:val="55"/>
    <w:qFormat/>
    <w:uiPriority w:val="0"/>
    <w:pPr>
      <w:numPr>
        <w:ilvl w:val="0"/>
        <w:numId w:val="0"/>
      </w:numPr>
      <w:tabs>
        <w:tab w:val="left" w:pos="1920"/>
      </w:tabs>
      <w:ind w:left="1920" w:hanging="1155"/>
    </w:pPr>
    <w:rPr>
      <w:rFonts w:ascii="宋体" w:hAnsi="Tahoma"/>
      <w:b w:val="0"/>
    </w:rPr>
  </w:style>
  <w:style w:type="paragraph" w:customStyle="1" w:styleId="79">
    <w:name w:val="Style 正文 + Before:  0.6 line After:  0.6 line1"/>
    <w:basedOn w:val="1"/>
    <w:qFormat/>
    <w:uiPriority w:val="0"/>
    <w:pPr>
      <w:spacing w:beforeLines="50"/>
      <w:ind w:firstLine="567"/>
    </w:pPr>
    <w:rPr>
      <w:rFonts w:ascii="华文仿宋" w:hAnsi="华文仿宋" w:eastAsia="华文仿宋" w:cs="宋体"/>
      <w:color w:val="FF0000"/>
      <w:sz w:val="28"/>
    </w:rPr>
  </w:style>
  <w:style w:type="paragraph" w:customStyle="1" w:styleId="80">
    <w:name w:val="正文文本缩进1"/>
    <w:basedOn w:val="1"/>
    <w:qFormat/>
    <w:uiPriority w:val="0"/>
    <w:pPr>
      <w:spacing w:before="60" w:after="60"/>
      <w:ind w:firstLine="480"/>
    </w:pPr>
    <w:rPr>
      <w:sz w:val="24"/>
    </w:rPr>
  </w:style>
  <w:style w:type="paragraph" w:customStyle="1" w:styleId="81">
    <w:name w:val="样式2"/>
    <w:basedOn w:val="1"/>
    <w:qFormat/>
    <w:uiPriority w:val="0"/>
    <w:pPr>
      <w:tabs>
        <w:tab w:val="left" w:pos="567"/>
      </w:tabs>
      <w:adjustRightInd w:val="0"/>
      <w:spacing w:before="60" w:after="60" w:line="410" w:lineRule="atLeast"/>
      <w:ind w:firstLine="454"/>
      <w:textAlignment w:val="baseline"/>
    </w:pPr>
    <w:rPr>
      <w:rFonts w:ascii="Arial" w:hAnsi="Arial"/>
      <w:sz w:val="24"/>
    </w:rPr>
  </w:style>
  <w:style w:type="paragraph" w:customStyle="1" w:styleId="82">
    <w:name w:val="样式 标题 3 + 仿宋_GB2312 行距: 1.5 倍行距"/>
    <w:basedOn w:val="54"/>
    <w:qFormat/>
    <w:uiPriority w:val="0"/>
    <w:pPr>
      <w:numPr>
        <w:ilvl w:val="0"/>
        <w:numId w:val="0"/>
      </w:numPr>
      <w:tabs>
        <w:tab w:val="left" w:pos="709"/>
        <w:tab w:val="clear" w:pos="567"/>
      </w:tabs>
    </w:pPr>
    <w:rPr>
      <w:rFonts w:ascii="仿宋_GB2312" w:eastAsia="仿宋_GB2312" w:cs="宋体"/>
      <w:b/>
      <w:sz w:val="30"/>
    </w:rPr>
  </w:style>
  <w:style w:type="paragraph" w:customStyle="1" w:styleId="83">
    <w:name w:val="Char Char Char Char Char Char Char Char Char Char"/>
    <w:basedOn w:val="1"/>
    <w:qFormat/>
    <w:uiPriority w:val="0"/>
    <w:pPr>
      <w:spacing w:after="160" w:line="240" w:lineRule="exact"/>
      <w:ind w:left="-62" w:right="36" w:rightChars="15"/>
    </w:pPr>
    <w:rPr>
      <w:rFonts w:ascii="Arial" w:hAnsi="Arial" w:eastAsia="Times New Roman"/>
      <w:lang w:eastAsia="en-US"/>
    </w:rPr>
  </w:style>
  <w:style w:type="paragraph" w:customStyle="1" w:styleId="84">
    <w:name w:val="标题 51"/>
    <w:basedOn w:val="1"/>
    <w:next w:val="1"/>
    <w:qFormat/>
    <w:uiPriority w:val="0"/>
    <w:pPr>
      <w:keepNext/>
      <w:keepLines/>
      <w:spacing w:before="280" w:after="290" w:line="376" w:lineRule="auto"/>
      <w:ind w:firstLine="420" w:firstLineChars="200"/>
      <w:outlineLvl w:val="4"/>
    </w:pPr>
    <w:rPr>
      <w:b/>
      <w:bCs/>
      <w:sz w:val="28"/>
      <w:szCs w:val="28"/>
    </w:rPr>
  </w:style>
  <w:style w:type="paragraph" w:customStyle="1" w:styleId="85">
    <w:name w:val="标题05"/>
    <w:basedOn w:val="84"/>
    <w:qFormat/>
    <w:uiPriority w:val="0"/>
    <w:pPr>
      <w:tabs>
        <w:tab w:val="left" w:pos="992"/>
      </w:tabs>
      <w:spacing w:line="360" w:lineRule="auto"/>
      <w:ind w:left="992" w:right="240" w:rightChars="100" w:hanging="992"/>
    </w:pPr>
    <w:rPr>
      <w:bCs w:val="0"/>
    </w:rPr>
  </w:style>
  <w:style w:type="paragraph" w:customStyle="1" w:styleId="86">
    <w:name w:val="标题 2 + 行距: 1.5 倍行距"/>
    <w:basedOn w:val="3"/>
    <w:qFormat/>
    <w:uiPriority w:val="0"/>
    <w:pPr>
      <w:spacing w:before="260" w:after="260"/>
    </w:pPr>
    <w:rPr>
      <w:rFonts w:ascii="宋体" w:hAnsi="宋体" w:eastAsia="宋体"/>
      <w:sz w:val="32"/>
      <w:szCs w:val="32"/>
    </w:rPr>
  </w:style>
  <w:style w:type="paragraph" w:customStyle="1" w:styleId="87">
    <w:name w:val="样式1"/>
    <w:basedOn w:val="1"/>
    <w:qFormat/>
    <w:uiPriority w:val="0"/>
    <w:pPr>
      <w:adjustRightInd w:val="0"/>
      <w:spacing w:line="420" w:lineRule="auto"/>
      <w:jc w:val="center"/>
      <w:textAlignment w:val="baseline"/>
    </w:pPr>
    <w:rPr>
      <w:rFonts w:ascii="宋体"/>
      <w:sz w:val="24"/>
    </w:rPr>
  </w:style>
  <w:style w:type="paragraph" w:customStyle="1" w:styleId="88">
    <w:name w:val="标题2"/>
    <w:basedOn w:val="3"/>
    <w:next w:val="3"/>
    <w:qFormat/>
    <w:uiPriority w:val="0"/>
    <w:pPr>
      <w:tabs>
        <w:tab w:val="left" w:pos="425"/>
        <w:tab w:val="left" w:pos="480"/>
        <w:tab w:val="left" w:pos="600"/>
        <w:tab w:val="left" w:pos="1140"/>
      </w:tabs>
      <w:spacing w:before="0"/>
      <w:ind w:left="1140" w:hanging="1140"/>
    </w:pPr>
    <w:rPr>
      <w:rFonts w:ascii="Times New Roman" w:hAnsi="Times New Roman" w:eastAsia="宋体"/>
    </w:rPr>
  </w:style>
  <w:style w:type="paragraph" w:customStyle="1" w:styleId="89">
    <w:name w:val="_Style 74"/>
    <w:basedOn w:val="1"/>
    <w:qFormat/>
    <w:uiPriority w:val="34"/>
    <w:pPr>
      <w:ind w:firstLine="420" w:firstLineChars="200"/>
    </w:pPr>
  </w:style>
  <w:style w:type="paragraph" w:customStyle="1" w:styleId="90">
    <w:name w:val="temp"/>
    <w:basedOn w:val="1"/>
    <w:qFormat/>
    <w:uiPriority w:val="0"/>
    <w:pPr>
      <w:spacing w:line="460" w:lineRule="exact"/>
      <w:jc w:val="center"/>
    </w:pPr>
    <w:rPr>
      <w:rFonts w:eastAsia="仿宋_GB2312"/>
      <w:sz w:val="24"/>
    </w:rPr>
  </w:style>
  <w:style w:type="paragraph" w:customStyle="1" w:styleId="91">
    <w:name w:val="样式 目录 3 + 首行缩进:  2 字符 行距: 单倍行距"/>
    <w:basedOn w:val="19"/>
    <w:qFormat/>
    <w:uiPriority w:val="0"/>
    <w:pPr>
      <w:ind w:left="482" w:firstLine="480"/>
    </w:pPr>
    <w:rPr>
      <w:rFonts w:eastAsia="仿宋_GB2312" w:cs="宋体"/>
      <w:i w:val="0"/>
      <w:iCs w:val="0"/>
      <w:smallCaps/>
      <w:sz w:val="24"/>
    </w:rPr>
  </w:style>
  <w:style w:type="paragraph" w:customStyle="1" w:styleId="92">
    <w:name w:val="Char1 Char Char Char"/>
    <w:basedOn w:val="1"/>
    <w:qFormat/>
    <w:uiPriority w:val="0"/>
    <w:rPr>
      <w:rFonts w:ascii="Tahoma" w:hAnsi="Tahoma"/>
      <w:sz w:val="24"/>
    </w:rPr>
  </w:style>
  <w:style w:type="paragraph" w:customStyle="1" w:styleId="93">
    <w:name w:val="正文首行缩进1"/>
    <w:basedOn w:val="17"/>
    <w:link w:val="118"/>
    <w:qFormat/>
    <w:uiPriority w:val="0"/>
    <w:pPr>
      <w:tabs>
        <w:tab w:val="clear" w:pos="720"/>
      </w:tabs>
      <w:spacing w:before="0" w:after="120"/>
      <w:ind w:firstLine="420" w:firstLineChars="100"/>
    </w:pPr>
  </w:style>
  <w:style w:type="paragraph" w:customStyle="1" w:styleId="94">
    <w:name w:val="目录 11"/>
    <w:basedOn w:val="1"/>
    <w:next w:val="1"/>
    <w:qFormat/>
    <w:uiPriority w:val="0"/>
    <w:pPr>
      <w:spacing w:before="120"/>
    </w:pPr>
    <w:rPr>
      <w:rFonts w:ascii="Calibri" w:hAnsi="Calibri"/>
      <w:b/>
      <w:bCs/>
      <w:caps/>
    </w:rPr>
  </w:style>
  <w:style w:type="paragraph" w:customStyle="1" w:styleId="95">
    <w:name w:val="日期1"/>
    <w:basedOn w:val="1"/>
    <w:next w:val="1"/>
    <w:qFormat/>
    <w:uiPriority w:val="0"/>
    <w:pPr>
      <w:ind w:left="100" w:leftChars="2500"/>
    </w:pPr>
    <w:rPr>
      <w:rFonts w:ascii="仿宋_GB2312" w:eastAsia="仿宋_GB2312"/>
      <w:color w:val="000000"/>
      <w:sz w:val="24"/>
    </w:rPr>
  </w:style>
  <w:style w:type="paragraph" w:customStyle="1" w:styleId="96">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paragraph" w:customStyle="1" w:styleId="97">
    <w:name w:val="正文文本 22"/>
    <w:basedOn w:val="1"/>
    <w:qFormat/>
    <w:uiPriority w:val="0"/>
    <w:pPr>
      <w:jc w:val="center"/>
    </w:pPr>
    <w:rPr>
      <w:rFonts w:eastAsia="隶书"/>
      <w:sz w:val="72"/>
    </w:rPr>
  </w:style>
  <w:style w:type="paragraph" w:customStyle="1" w:styleId="98">
    <w:name w:val="标题1"/>
    <w:basedOn w:val="55"/>
    <w:qFormat/>
    <w:uiPriority w:val="0"/>
    <w:pPr>
      <w:numPr>
        <w:numId w:val="0"/>
      </w:numPr>
      <w:tabs>
        <w:tab w:val="left" w:pos="480"/>
        <w:tab w:val="left" w:pos="600"/>
        <w:tab w:val="left" w:pos="1140"/>
      </w:tabs>
      <w:ind w:left="1140" w:hanging="1140"/>
    </w:pPr>
    <w:rPr>
      <w:rFonts w:hAnsi="Arial"/>
      <w:b w:val="0"/>
      <w:sz w:val="28"/>
    </w:rPr>
  </w:style>
  <w:style w:type="paragraph" w:customStyle="1" w:styleId="99">
    <w:name w:val="批注框文本 Char Char"/>
    <w:basedOn w:val="1"/>
    <w:qFormat/>
    <w:uiPriority w:val="0"/>
    <w:rPr>
      <w:sz w:val="18"/>
      <w:szCs w:val="18"/>
    </w:rPr>
  </w:style>
  <w:style w:type="paragraph" w:customStyle="1" w:styleId="100">
    <w:name w:val="章节"/>
    <w:basedOn w:val="32"/>
    <w:qFormat/>
    <w:uiPriority w:val="0"/>
  </w:style>
  <w:style w:type="paragraph" w:customStyle="1" w:styleId="101">
    <w:name w:val="批注主题1"/>
    <w:basedOn w:val="16"/>
    <w:next w:val="16"/>
    <w:link w:val="119"/>
    <w:qFormat/>
    <w:uiPriority w:val="0"/>
    <w:pPr>
      <w:adjustRightInd/>
      <w:spacing w:line="240" w:lineRule="auto"/>
      <w:textAlignment w:val="auto"/>
    </w:pPr>
    <w:rPr>
      <w:b/>
      <w:bCs/>
      <w:kern w:val="2"/>
      <w:szCs w:val="24"/>
    </w:rPr>
  </w:style>
  <w:style w:type="paragraph" w:customStyle="1" w:styleId="102">
    <w:name w:val="TOC 标题1"/>
    <w:basedOn w:val="55"/>
    <w:next w:val="1"/>
    <w:qFormat/>
    <w:uiPriority w:val="0"/>
    <w:pPr>
      <w:numPr>
        <w:numId w:val="0"/>
      </w:numPr>
      <w:spacing w:before="480" w:line="276" w:lineRule="auto"/>
      <w:outlineLvl w:val="9"/>
    </w:pPr>
    <w:rPr>
      <w:rFonts w:ascii="Cambria" w:hAnsi="Cambria" w:eastAsia="宋体"/>
      <w:color w:val="365F91"/>
      <w:sz w:val="28"/>
      <w:szCs w:val="28"/>
    </w:rPr>
  </w:style>
  <w:style w:type="paragraph" w:customStyle="1" w:styleId="103">
    <w:name w:val="标题4"/>
    <w:basedOn w:val="58"/>
    <w:qFormat/>
    <w:uiPriority w:val="0"/>
    <w:pPr>
      <w:numPr>
        <w:ilvl w:val="0"/>
        <w:numId w:val="0"/>
      </w:numPr>
      <w:tabs>
        <w:tab w:val="left" w:pos="480"/>
        <w:tab w:val="left" w:pos="600"/>
        <w:tab w:val="left" w:pos="1140"/>
        <w:tab w:val="clear" w:pos="567"/>
      </w:tabs>
      <w:spacing w:before="0" w:after="0"/>
      <w:ind w:left="1140" w:hanging="1140"/>
    </w:pPr>
    <w:rPr>
      <w:rFonts w:eastAsia="宋体"/>
    </w:rPr>
  </w:style>
  <w:style w:type="paragraph" w:customStyle="1" w:styleId="104">
    <w:name w:val="纯文本1"/>
    <w:basedOn w:val="1"/>
    <w:link w:val="109"/>
    <w:qFormat/>
    <w:uiPriority w:val="0"/>
    <w:rPr>
      <w:rFonts w:ascii="宋体" w:hAnsi="Courier New"/>
      <w:sz w:val="24"/>
    </w:rPr>
  </w:style>
  <w:style w:type="paragraph" w:customStyle="1" w:styleId="105">
    <w:name w:val="页眉1"/>
    <w:basedOn w:val="1"/>
    <w:link w:val="111"/>
    <w:qFormat/>
    <w:uiPriority w:val="99"/>
    <w:pPr>
      <w:pBdr>
        <w:bottom w:val="single" w:color="auto" w:sz="6" w:space="1"/>
      </w:pBdr>
      <w:tabs>
        <w:tab w:val="center" w:pos="4153"/>
        <w:tab w:val="right" w:pos="8306"/>
      </w:tabs>
      <w:adjustRightInd w:val="0"/>
      <w:spacing w:line="240" w:lineRule="atLeast"/>
      <w:jc w:val="center"/>
      <w:textAlignment w:val="baseline"/>
    </w:pPr>
    <w:rPr>
      <w:sz w:val="18"/>
    </w:rPr>
  </w:style>
  <w:style w:type="paragraph" w:customStyle="1" w:styleId="106">
    <w:name w:val="标题02"/>
    <w:basedOn w:val="3"/>
    <w:qFormat/>
    <w:uiPriority w:val="0"/>
    <w:pPr>
      <w:ind w:left="170" w:hanging="170"/>
    </w:pPr>
    <w:rPr>
      <w:rFonts w:ascii="宋体" w:eastAsia="宋体"/>
      <w:bCs/>
      <w:sz w:val="30"/>
      <w:szCs w:val="32"/>
    </w:rPr>
  </w:style>
  <w:style w:type="paragraph" w:customStyle="1" w:styleId="107">
    <w:name w:val="标题3"/>
    <w:basedOn w:val="54"/>
    <w:qFormat/>
    <w:uiPriority w:val="0"/>
    <w:pPr>
      <w:numPr>
        <w:ilvl w:val="0"/>
        <w:numId w:val="0"/>
      </w:numPr>
      <w:tabs>
        <w:tab w:val="left" w:pos="480"/>
        <w:tab w:val="left" w:pos="851"/>
        <w:tab w:val="clear" w:pos="567"/>
      </w:tabs>
      <w:snapToGrid w:val="0"/>
      <w:spacing w:before="0" w:after="0"/>
    </w:pPr>
    <w:rPr>
      <w:b/>
    </w:rPr>
  </w:style>
  <w:style w:type="character" w:customStyle="1" w:styleId="108">
    <w:name w:val="正文文本 Char"/>
    <w:link w:val="17"/>
    <w:semiHidden/>
    <w:qFormat/>
    <w:uiPriority w:val="0"/>
    <w:rPr>
      <w:kern w:val="2"/>
      <w:sz w:val="24"/>
      <w:szCs w:val="24"/>
    </w:rPr>
  </w:style>
  <w:style w:type="character" w:customStyle="1" w:styleId="109">
    <w:name w:val="纯文本 Char"/>
    <w:link w:val="104"/>
    <w:qFormat/>
    <w:uiPriority w:val="0"/>
    <w:rPr>
      <w:rFonts w:ascii="宋体" w:hAnsi="Courier New"/>
      <w:kern w:val="2"/>
      <w:sz w:val="24"/>
    </w:rPr>
  </w:style>
  <w:style w:type="character" w:customStyle="1" w:styleId="110">
    <w:name w:val="页眉 Char1"/>
    <w:link w:val="24"/>
    <w:qFormat/>
    <w:uiPriority w:val="99"/>
    <w:rPr>
      <w:kern w:val="2"/>
      <w:sz w:val="18"/>
      <w:szCs w:val="18"/>
    </w:rPr>
  </w:style>
  <w:style w:type="character" w:customStyle="1" w:styleId="111">
    <w:name w:val="页眉 Char"/>
    <w:link w:val="105"/>
    <w:semiHidden/>
    <w:qFormat/>
    <w:uiPriority w:val="99"/>
    <w:rPr>
      <w:sz w:val="18"/>
    </w:rPr>
  </w:style>
  <w:style w:type="character" w:customStyle="1" w:styleId="112">
    <w:name w:val="页脚 Char"/>
    <w:link w:val="23"/>
    <w:qFormat/>
    <w:uiPriority w:val="99"/>
    <w:rPr>
      <w:sz w:val="18"/>
    </w:rPr>
  </w:style>
  <w:style w:type="character" w:customStyle="1" w:styleId="113">
    <w:name w:val="标题 3 Char"/>
    <w:basedOn w:val="36"/>
    <w:link w:val="4"/>
    <w:qFormat/>
    <w:uiPriority w:val="9"/>
    <w:rPr>
      <w:rFonts w:asciiTheme="majorHAnsi" w:hAnsiTheme="majorHAnsi" w:eastAsiaTheme="majorEastAsia" w:cstheme="majorBidi"/>
      <w:color w:val="1F497D" w:themeColor="text2"/>
      <w:sz w:val="24"/>
      <w:szCs w:val="24"/>
      <w14:textFill>
        <w14:solidFill>
          <w14:schemeClr w14:val="tx2"/>
        </w14:solidFill>
      </w14:textFill>
    </w:rPr>
  </w:style>
  <w:style w:type="character" w:customStyle="1" w:styleId="114">
    <w:name w:val="olt_table_content_cfg1"/>
    <w:qFormat/>
    <w:uiPriority w:val="0"/>
    <w:rPr>
      <w:rFonts w:hint="default" w:ascii="Arial" w:hAnsi="Arial" w:cs="Arial"/>
      <w:color w:val="000000"/>
      <w:sz w:val="16"/>
      <w:szCs w:val="16"/>
    </w:rPr>
  </w:style>
  <w:style w:type="character" w:customStyle="1" w:styleId="115">
    <w:name w:val="批注引用1"/>
    <w:qFormat/>
    <w:uiPriority w:val="0"/>
    <w:rPr>
      <w:sz w:val="21"/>
      <w:szCs w:val="21"/>
    </w:rPr>
  </w:style>
  <w:style w:type="character" w:customStyle="1" w:styleId="116">
    <w:name w:val="yu正文 Char Char"/>
    <w:link w:val="52"/>
    <w:qFormat/>
    <w:uiPriority w:val="0"/>
    <w:rPr>
      <w:rFonts w:ascii="仿宋_GB2312" w:eastAsia="仿宋_GB2312"/>
      <w:kern w:val="2"/>
      <w:sz w:val="24"/>
    </w:rPr>
  </w:style>
  <w:style w:type="character" w:customStyle="1" w:styleId="117">
    <w:name w:val="正文缩进 Char1"/>
    <w:link w:val="48"/>
    <w:qFormat/>
    <w:uiPriority w:val="0"/>
    <w:rPr>
      <w:sz w:val="21"/>
    </w:rPr>
  </w:style>
  <w:style w:type="character" w:customStyle="1" w:styleId="118">
    <w:name w:val="正文首行缩进 Char"/>
    <w:link w:val="93"/>
    <w:semiHidden/>
    <w:qFormat/>
    <w:uiPriority w:val="0"/>
    <w:rPr>
      <w:kern w:val="2"/>
      <w:sz w:val="24"/>
      <w:szCs w:val="24"/>
    </w:rPr>
  </w:style>
  <w:style w:type="character" w:customStyle="1" w:styleId="119">
    <w:name w:val="批注主题 Char"/>
    <w:link w:val="101"/>
    <w:semiHidden/>
    <w:qFormat/>
    <w:uiPriority w:val="0"/>
    <w:rPr>
      <w:rFonts w:ascii="宋体" w:cs="宋体"/>
      <w:b/>
      <w:bCs/>
      <w:kern w:val="2"/>
      <w:sz w:val="21"/>
      <w:szCs w:val="24"/>
    </w:rPr>
  </w:style>
  <w:style w:type="character" w:customStyle="1" w:styleId="120">
    <w:name w:val="标题 2 Char"/>
    <w:basedOn w:val="36"/>
    <w:link w:val="3"/>
    <w:qFormat/>
    <w:uiPriority w:val="9"/>
    <w:rPr>
      <w:rFonts w:asciiTheme="majorHAnsi" w:hAnsiTheme="majorHAnsi" w:eastAsiaTheme="majorEastAsia" w:cstheme="majorBidi"/>
      <w:color w:val="404040" w:themeColor="text1" w:themeTint="BF"/>
      <w:sz w:val="28"/>
      <w:szCs w:val="28"/>
      <w14:textFill>
        <w14:solidFill>
          <w14:schemeClr w14:val="tx1">
            <w14:lumMod w14:val="75000"/>
            <w14:lumOff w14:val="25000"/>
          </w14:schemeClr>
        </w14:solidFill>
      </w14:textFill>
    </w:rPr>
  </w:style>
  <w:style w:type="character" w:customStyle="1" w:styleId="121">
    <w:name w:val="content13px1"/>
    <w:qFormat/>
    <w:uiPriority w:val="0"/>
    <w:rPr>
      <w:color w:val="000000"/>
      <w:sz w:val="19"/>
      <w:szCs w:val="19"/>
      <w:u w:val="none"/>
    </w:rPr>
  </w:style>
  <w:style w:type="character" w:customStyle="1" w:styleId="122">
    <w:name w:val="标题 Char"/>
    <w:basedOn w:val="36"/>
    <w:link w:val="32"/>
    <w:qFormat/>
    <w:uiPriority w:val="10"/>
    <w:rPr>
      <w:rFonts w:asciiTheme="majorHAnsi" w:hAnsiTheme="majorHAnsi" w:eastAsiaTheme="majorEastAsia" w:cstheme="majorBidi"/>
      <w:color w:val="4F81BD" w:themeColor="accent1"/>
      <w:spacing w:val="-10"/>
      <w:sz w:val="56"/>
      <w:szCs w:val="56"/>
      <w14:textFill>
        <w14:solidFill>
          <w14:schemeClr w14:val="accent1"/>
        </w14:solidFill>
      </w14:textFill>
    </w:rPr>
  </w:style>
  <w:style w:type="character" w:customStyle="1" w:styleId="123">
    <w:name w:val="批注框文本 Char"/>
    <w:link w:val="22"/>
    <w:semiHidden/>
    <w:qFormat/>
    <w:uiPriority w:val="99"/>
    <w:rPr>
      <w:kern w:val="2"/>
      <w:sz w:val="18"/>
      <w:szCs w:val="18"/>
    </w:rPr>
  </w:style>
  <w:style w:type="character" w:customStyle="1" w:styleId="124">
    <w:name w:val="行号1"/>
    <w:basedOn w:val="36"/>
    <w:qFormat/>
    <w:uiPriority w:val="0"/>
  </w:style>
  <w:style w:type="character" w:customStyle="1" w:styleId="125">
    <w:name w:val="列出段落 Char1"/>
    <w:link w:val="77"/>
    <w:qFormat/>
    <w:uiPriority w:val="0"/>
    <w:rPr>
      <w:kern w:val="2"/>
      <w:sz w:val="21"/>
      <w:szCs w:val="24"/>
    </w:rPr>
  </w:style>
  <w:style w:type="character" w:customStyle="1" w:styleId="126">
    <w:name w:val="页码1"/>
    <w:basedOn w:val="36"/>
    <w:qFormat/>
    <w:uiPriority w:val="0"/>
  </w:style>
  <w:style w:type="character" w:customStyle="1" w:styleId="127">
    <w:name w:val="批注文字 Char"/>
    <w:link w:val="16"/>
    <w:semiHidden/>
    <w:qFormat/>
    <w:uiPriority w:val="0"/>
    <w:rPr>
      <w:rFonts w:ascii="宋体" w:cs="宋体"/>
      <w:sz w:val="21"/>
      <w:szCs w:val="21"/>
    </w:rPr>
  </w:style>
  <w:style w:type="character" w:customStyle="1" w:styleId="128">
    <w:name w:val="文档结构图 Char"/>
    <w:basedOn w:val="36"/>
    <w:link w:val="15"/>
    <w:semiHidden/>
    <w:qFormat/>
    <w:uiPriority w:val="99"/>
    <w:rPr>
      <w:rFonts w:ascii="宋体"/>
      <w:kern w:val="2"/>
      <w:sz w:val="18"/>
      <w:szCs w:val="18"/>
    </w:rPr>
  </w:style>
  <w:style w:type="character" w:customStyle="1" w:styleId="129">
    <w:name w:val="标题 1 Char"/>
    <w:basedOn w:val="36"/>
    <w:link w:val="2"/>
    <w:qFormat/>
    <w:uiPriority w:val="9"/>
    <w:rPr>
      <w:rFonts w:asciiTheme="majorHAnsi" w:hAnsiTheme="majorHAnsi" w:eastAsiaTheme="majorEastAsia" w:cstheme="majorBidi"/>
      <w:color w:val="376092" w:themeColor="accent1" w:themeShade="BF"/>
      <w:sz w:val="32"/>
      <w:szCs w:val="32"/>
    </w:rPr>
  </w:style>
  <w:style w:type="paragraph" w:customStyle="1" w:styleId="130">
    <w:name w:val="Default"/>
    <w:qFormat/>
    <w:uiPriority w:val="0"/>
    <w:pPr>
      <w:widowControl w:val="0"/>
      <w:autoSpaceDE w:val="0"/>
      <w:autoSpaceDN w:val="0"/>
      <w:adjustRightInd w:val="0"/>
      <w:spacing w:after="120" w:line="520" w:lineRule="exact"/>
    </w:pPr>
    <w:rPr>
      <w:rFonts w:asciiTheme="minorHAnsi" w:hAnsiTheme="minorHAnsi" w:eastAsiaTheme="minorEastAsia" w:cstheme="minorBidi"/>
      <w:color w:val="000000"/>
      <w:sz w:val="24"/>
      <w:szCs w:val="24"/>
      <w:lang w:val="en-US" w:eastAsia="zh-CN" w:bidi="ar-SA"/>
    </w:rPr>
  </w:style>
  <w:style w:type="paragraph" w:customStyle="1" w:styleId="131">
    <w:name w:val="列出段落2"/>
    <w:basedOn w:val="1"/>
    <w:link w:val="155"/>
    <w:qFormat/>
    <w:uiPriority w:val="0"/>
    <w:pPr>
      <w:ind w:firstLine="420" w:firstLineChars="200"/>
    </w:pPr>
  </w:style>
  <w:style w:type="character" w:customStyle="1" w:styleId="132">
    <w:name w:val="标题 4 Char"/>
    <w:basedOn w:val="36"/>
    <w:link w:val="5"/>
    <w:qFormat/>
    <w:uiPriority w:val="9"/>
    <w:rPr>
      <w:rFonts w:asciiTheme="majorHAnsi" w:hAnsiTheme="majorHAnsi" w:eastAsiaTheme="majorEastAsia" w:cstheme="majorBidi"/>
      <w:sz w:val="22"/>
      <w:szCs w:val="22"/>
    </w:rPr>
  </w:style>
  <w:style w:type="paragraph" w:customStyle="1" w:styleId="133">
    <w:name w:val="_Style 12"/>
    <w:basedOn w:val="1"/>
    <w:qFormat/>
    <w:uiPriority w:val="0"/>
  </w:style>
  <w:style w:type="character" w:customStyle="1" w:styleId="134">
    <w:name w:val="纯文本 Char1"/>
    <w:basedOn w:val="36"/>
    <w:link w:val="20"/>
    <w:qFormat/>
    <w:uiPriority w:val="0"/>
    <w:rPr>
      <w:rFonts w:ascii="宋体" w:hAnsi="Courier New" w:cs="Courier New"/>
      <w:kern w:val="2"/>
      <w:sz w:val="21"/>
      <w:szCs w:val="21"/>
    </w:rPr>
  </w:style>
  <w:style w:type="paragraph" w:customStyle="1" w:styleId="135">
    <w:name w:val="Normal Indental Char Char Char Char Char Char"/>
    <w:basedOn w:val="1"/>
    <w:link w:val="136"/>
    <w:qFormat/>
    <w:uiPriority w:val="0"/>
    <w:pPr>
      <w:overflowPunct w:val="0"/>
      <w:autoSpaceDE w:val="0"/>
      <w:autoSpaceDN w:val="0"/>
      <w:adjustRightInd w:val="0"/>
      <w:spacing w:after="240" w:line="360" w:lineRule="auto"/>
      <w:ind w:firstLine="520" w:firstLineChars="200"/>
      <w:textAlignment w:val="baseline"/>
    </w:pPr>
    <w:rPr>
      <w:rFonts w:ascii="Arial Narrow" w:hAnsi="Arial Narrow" w:eastAsia="楷体_GB2312"/>
      <w:spacing w:val="10"/>
      <w:sz w:val="24"/>
    </w:rPr>
  </w:style>
  <w:style w:type="character" w:customStyle="1" w:styleId="136">
    <w:name w:val="Normal Indental Char Char Char Char Char Char Char"/>
    <w:link w:val="135"/>
    <w:qFormat/>
    <w:uiPriority w:val="0"/>
    <w:rPr>
      <w:rFonts w:ascii="Arial Narrow" w:hAnsi="Arial Narrow" w:eastAsia="楷体_GB2312"/>
      <w:spacing w:val="10"/>
      <w:sz w:val="24"/>
    </w:rPr>
  </w:style>
  <w:style w:type="character" w:customStyle="1" w:styleId="137">
    <w:name w:val="标题 5 Char"/>
    <w:basedOn w:val="36"/>
    <w:link w:val="6"/>
    <w:semiHidden/>
    <w:qFormat/>
    <w:uiPriority w:val="9"/>
    <w:rPr>
      <w:rFonts w:asciiTheme="majorHAnsi" w:hAnsiTheme="majorHAnsi" w:eastAsiaTheme="majorEastAsia" w:cstheme="majorBidi"/>
      <w:color w:val="1F497D" w:themeColor="text2"/>
      <w:sz w:val="22"/>
      <w:szCs w:val="22"/>
      <w14:textFill>
        <w14:solidFill>
          <w14:schemeClr w14:val="tx2"/>
        </w14:solidFill>
      </w14:textFill>
    </w:rPr>
  </w:style>
  <w:style w:type="character" w:customStyle="1" w:styleId="138">
    <w:name w:val="标题 6 Char"/>
    <w:basedOn w:val="36"/>
    <w:link w:val="7"/>
    <w:qFormat/>
    <w:uiPriority w:val="9"/>
    <w:rPr>
      <w:rFonts w:asciiTheme="majorHAnsi" w:hAnsiTheme="majorHAnsi" w:eastAsiaTheme="majorEastAsia" w:cstheme="majorBidi"/>
      <w:i/>
      <w:iCs/>
      <w:color w:val="1F497D" w:themeColor="text2"/>
      <w:sz w:val="21"/>
      <w:szCs w:val="21"/>
      <w14:textFill>
        <w14:solidFill>
          <w14:schemeClr w14:val="tx2"/>
        </w14:solidFill>
      </w14:textFill>
    </w:rPr>
  </w:style>
  <w:style w:type="character" w:customStyle="1" w:styleId="139">
    <w:name w:val="标题 7 Char"/>
    <w:basedOn w:val="36"/>
    <w:link w:val="8"/>
    <w:semiHidden/>
    <w:qFormat/>
    <w:uiPriority w:val="9"/>
    <w:rPr>
      <w:rFonts w:asciiTheme="majorHAnsi" w:hAnsiTheme="majorHAnsi" w:eastAsiaTheme="majorEastAsia" w:cstheme="majorBidi"/>
      <w:i/>
      <w:iCs/>
      <w:color w:val="254061" w:themeColor="accent1" w:themeShade="80"/>
      <w:sz w:val="21"/>
      <w:szCs w:val="21"/>
    </w:rPr>
  </w:style>
  <w:style w:type="character" w:customStyle="1" w:styleId="140">
    <w:name w:val="标题 8 Char"/>
    <w:basedOn w:val="36"/>
    <w:link w:val="9"/>
    <w:semiHidden/>
    <w:qFormat/>
    <w:uiPriority w:val="9"/>
    <w:rPr>
      <w:rFonts w:asciiTheme="majorHAnsi" w:hAnsiTheme="majorHAnsi" w:eastAsiaTheme="majorEastAsia" w:cstheme="majorBidi"/>
      <w:b/>
      <w:bCs/>
      <w:color w:val="1F497D" w:themeColor="text2"/>
      <w14:textFill>
        <w14:solidFill>
          <w14:schemeClr w14:val="tx2"/>
        </w14:solidFill>
      </w14:textFill>
    </w:rPr>
  </w:style>
  <w:style w:type="character" w:customStyle="1" w:styleId="141">
    <w:name w:val="标题 9 Char"/>
    <w:basedOn w:val="36"/>
    <w:link w:val="10"/>
    <w:semiHidden/>
    <w:qFormat/>
    <w:uiPriority w:val="9"/>
    <w:rPr>
      <w:rFonts w:asciiTheme="majorHAnsi" w:hAnsiTheme="majorHAnsi" w:eastAsiaTheme="majorEastAsia" w:cstheme="majorBidi"/>
      <w:b/>
      <w:bCs/>
      <w:i/>
      <w:iCs/>
      <w:color w:val="1F497D" w:themeColor="text2"/>
      <w14:textFill>
        <w14:solidFill>
          <w14:schemeClr w14:val="tx2"/>
        </w14:solidFill>
      </w14:textFill>
    </w:rPr>
  </w:style>
  <w:style w:type="character" w:customStyle="1" w:styleId="142">
    <w:name w:val="副标题 Char"/>
    <w:basedOn w:val="36"/>
    <w:link w:val="27"/>
    <w:qFormat/>
    <w:uiPriority w:val="11"/>
    <w:rPr>
      <w:rFonts w:asciiTheme="majorHAnsi" w:hAnsiTheme="majorHAnsi" w:eastAsiaTheme="majorEastAsia" w:cstheme="majorBidi"/>
      <w:sz w:val="24"/>
      <w:szCs w:val="24"/>
    </w:rPr>
  </w:style>
  <w:style w:type="paragraph" w:customStyle="1" w:styleId="143">
    <w:name w:val="无间隔1"/>
    <w:qFormat/>
    <w:uiPriority w:val="1"/>
    <w:rPr>
      <w:rFonts w:asciiTheme="minorHAnsi" w:hAnsiTheme="minorHAnsi" w:eastAsiaTheme="minorEastAsia" w:cstheme="minorBidi"/>
      <w:lang w:val="en-US" w:eastAsia="zh-CN" w:bidi="ar-SA"/>
    </w:rPr>
  </w:style>
  <w:style w:type="paragraph" w:customStyle="1" w:styleId="144">
    <w:name w:val="引用1"/>
    <w:basedOn w:val="1"/>
    <w:next w:val="1"/>
    <w:link w:val="145"/>
    <w:qFormat/>
    <w:uiPriority w:val="29"/>
    <w:pPr>
      <w:spacing w:before="160"/>
      <w:ind w:left="720" w:right="720"/>
    </w:pPr>
    <w:rPr>
      <w:i/>
      <w:iCs/>
      <w:color w:val="404040" w:themeColor="text1" w:themeTint="BF"/>
      <w14:textFill>
        <w14:solidFill>
          <w14:schemeClr w14:val="tx1">
            <w14:lumMod w14:val="75000"/>
            <w14:lumOff w14:val="25000"/>
          </w14:schemeClr>
        </w14:solidFill>
      </w14:textFill>
    </w:rPr>
  </w:style>
  <w:style w:type="character" w:customStyle="1" w:styleId="145">
    <w:name w:val="引用 Char"/>
    <w:basedOn w:val="36"/>
    <w:link w:val="144"/>
    <w:qFormat/>
    <w:uiPriority w:val="29"/>
    <w:rPr>
      <w:i/>
      <w:iCs/>
      <w:color w:val="404040" w:themeColor="text1" w:themeTint="BF"/>
      <w14:textFill>
        <w14:solidFill>
          <w14:schemeClr w14:val="tx1">
            <w14:lumMod w14:val="75000"/>
            <w14:lumOff w14:val="25000"/>
          </w14:schemeClr>
        </w14:solidFill>
      </w14:textFill>
    </w:rPr>
  </w:style>
  <w:style w:type="paragraph" w:customStyle="1" w:styleId="146">
    <w:name w:val="明显引用1"/>
    <w:basedOn w:val="1"/>
    <w:next w:val="1"/>
    <w:link w:val="147"/>
    <w:qFormat/>
    <w:uiPriority w:val="30"/>
    <w:pPr>
      <w:pBdr>
        <w:left w:val="single" w:color="4F81BD" w:themeColor="accent1" w:sz="18" w:space="12"/>
      </w:pBdr>
      <w:spacing w:before="100" w:beforeAutospacing="1" w:line="300" w:lineRule="auto"/>
      <w:ind w:left="1224" w:right="1224"/>
    </w:pPr>
    <w:rPr>
      <w:rFonts w:asciiTheme="majorHAnsi" w:hAnsiTheme="majorHAnsi" w:eastAsiaTheme="majorEastAsia" w:cstheme="majorBidi"/>
      <w:color w:val="4F81BD" w:themeColor="accent1"/>
      <w:sz w:val="28"/>
      <w:szCs w:val="28"/>
      <w14:textFill>
        <w14:solidFill>
          <w14:schemeClr w14:val="accent1"/>
        </w14:solidFill>
      </w14:textFill>
    </w:rPr>
  </w:style>
  <w:style w:type="character" w:customStyle="1" w:styleId="147">
    <w:name w:val="明显引用 Char"/>
    <w:basedOn w:val="36"/>
    <w:link w:val="146"/>
    <w:qFormat/>
    <w:uiPriority w:val="30"/>
    <w:rPr>
      <w:rFonts w:asciiTheme="majorHAnsi" w:hAnsiTheme="majorHAnsi" w:eastAsiaTheme="majorEastAsia" w:cstheme="majorBidi"/>
      <w:color w:val="4F81BD" w:themeColor="accent1"/>
      <w:sz w:val="28"/>
      <w:szCs w:val="28"/>
      <w14:textFill>
        <w14:solidFill>
          <w14:schemeClr w14:val="accent1"/>
        </w14:solidFill>
      </w14:textFill>
    </w:rPr>
  </w:style>
  <w:style w:type="character" w:customStyle="1" w:styleId="148">
    <w:name w:val="不明显强调1"/>
    <w:basedOn w:val="36"/>
    <w:qFormat/>
    <w:uiPriority w:val="19"/>
    <w:rPr>
      <w:i/>
      <w:iCs/>
      <w:color w:val="404040" w:themeColor="text1" w:themeTint="BF"/>
      <w14:textFill>
        <w14:solidFill>
          <w14:schemeClr w14:val="tx1">
            <w14:lumMod w14:val="75000"/>
            <w14:lumOff w14:val="25000"/>
          </w14:schemeClr>
        </w14:solidFill>
      </w14:textFill>
    </w:rPr>
  </w:style>
  <w:style w:type="character" w:customStyle="1" w:styleId="149">
    <w:name w:val="明显强调1"/>
    <w:basedOn w:val="36"/>
    <w:qFormat/>
    <w:uiPriority w:val="21"/>
    <w:rPr>
      <w:b/>
      <w:bCs/>
      <w:i/>
      <w:iCs/>
    </w:rPr>
  </w:style>
  <w:style w:type="character" w:customStyle="1" w:styleId="150">
    <w:name w:val="不明显参考1"/>
    <w:basedOn w:val="36"/>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151">
    <w:name w:val="明显参考1"/>
    <w:basedOn w:val="36"/>
    <w:qFormat/>
    <w:uiPriority w:val="32"/>
    <w:rPr>
      <w:b/>
      <w:bCs/>
      <w:smallCaps/>
      <w:spacing w:val="5"/>
      <w:u w:val="single"/>
    </w:rPr>
  </w:style>
  <w:style w:type="character" w:customStyle="1" w:styleId="152">
    <w:name w:val="书籍标题1"/>
    <w:basedOn w:val="36"/>
    <w:qFormat/>
    <w:uiPriority w:val="33"/>
    <w:rPr>
      <w:b/>
      <w:bCs/>
      <w:smallCaps/>
    </w:rPr>
  </w:style>
  <w:style w:type="paragraph" w:customStyle="1" w:styleId="153">
    <w:name w:val="TOC 标题2"/>
    <w:basedOn w:val="2"/>
    <w:next w:val="1"/>
    <w:unhideWhenUsed/>
    <w:qFormat/>
    <w:uiPriority w:val="39"/>
    <w:pPr>
      <w:outlineLvl w:val="9"/>
    </w:pPr>
  </w:style>
  <w:style w:type="character" w:customStyle="1" w:styleId="154">
    <w:name w:val="批注主题 Char1"/>
    <w:basedOn w:val="127"/>
    <w:link w:val="33"/>
    <w:semiHidden/>
    <w:qFormat/>
    <w:uiPriority w:val="99"/>
    <w:rPr>
      <w:rFonts w:ascii="宋体" w:cs="宋体"/>
      <w:b/>
      <w:bCs/>
      <w:sz w:val="21"/>
      <w:szCs w:val="21"/>
    </w:rPr>
  </w:style>
  <w:style w:type="character" w:customStyle="1" w:styleId="155">
    <w:name w:val="列出段落 Char"/>
    <w:link w:val="131"/>
    <w:qFormat/>
    <w:uiPriority w:val="0"/>
  </w:style>
  <w:style w:type="paragraph" w:customStyle="1" w:styleId="156">
    <w:name w:val="Char Char14 Char Char Char Char"/>
    <w:basedOn w:val="1"/>
    <w:qFormat/>
    <w:uiPriority w:val="0"/>
    <w:pPr>
      <w:widowControl w:val="0"/>
      <w:spacing w:after="0" w:line="240" w:lineRule="auto"/>
      <w:jc w:val="both"/>
    </w:pPr>
    <w:rPr>
      <w:rFonts w:ascii="Times New Roman" w:hAnsi="Times New Roman" w:eastAsia="宋体" w:cs="Times New Roman"/>
      <w:kern w:val="2"/>
      <w:sz w:val="21"/>
      <w:szCs w:val="24"/>
    </w:rPr>
  </w:style>
  <w:style w:type="paragraph" w:customStyle="1" w:styleId="157">
    <w:name w:val="Char Char14 Char Char Char Char1"/>
    <w:basedOn w:val="1"/>
    <w:qFormat/>
    <w:uiPriority w:val="0"/>
    <w:pPr>
      <w:widowControl w:val="0"/>
      <w:spacing w:after="0" w:line="240" w:lineRule="auto"/>
      <w:jc w:val="both"/>
    </w:pPr>
    <w:rPr>
      <w:rFonts w:ascii="Times New Roman" w:hAnsi="Times New Roman" w:eastAsia="宋体" w:cs="Times New Roman"/>
      <w:kern w:val="2"/>
      <w:sz w:val="21"/>
      <w:szCs w:val="24"/>
    </w:rPr>
  </w:style>
  <w:style w:type="paragraph" w:customStyle="1" w:styleId="158">
    <w:name w:val="修订1"/>
    <w:hidden/>
    <w:semiHidden/>
    <w:qFormat/>
    <w:uiPriority w:val="99"/>
    <w:rPr>
      <w:rFonts w:asciiTheme="minorHAnsi" w:hAnsiTheme="minorHAnsi" w:eastAsiaTheme="minorEastAsia" w:cstheme="minorBidi"/>
      <w:lang w:val="en-US" w:eastAsia="zh-CN" w:bidi="ar-SA"/>
    </w:rPr>
  </w:style>
  <w:style w:type="paragraph" w:customStyle="1" w:styleId="159">
    <w:name w:val="数字编号"/>
    <w:basedOn w:val="1"/>
    <w:qFormat/>
    <w:uiPriority w:val="0"/>
    <w:pPr>
      <w:widowControl w:val="0"/>
      <w:numPr>
        <w:ilvl w:val="0"/>
        <w:numId w:val="5"/>
      </w:numPr>
      <w:adjustRightInd w:val="0"/>
      <w:spacing w:after="0" w:line="300" w:lineRule="auto"/>
      <w:jc w:val="both"/>
    </w:pPr>
    <w:rPr>
      <w:rFonts w:ascii="Arial" w:hAnsi="Arial" w:eastAsia="宋体" w:cs="Times New Roman"/>
      <w:kern w:val="2"/>
      <w:sz w:val="24"/>
    </w:rPr>
  </w:style>
  <w:style w:type="paragraph" w:customStyle="1" w:styleId="160">
    <w:name w:val="修订2"/>
    <w:hidden/>
    <w:semiHidden/>
    <w:qFormat/>
    <w:uiPriority w:val="99"/>
    <w:rPr>
      <w:rFonts w:asciiTheme="minorHAnsi" w:hAnsiTheme="minorHAnsi" w:eastAsiaTheme="minorEastAsia" w:cstheme="minorBidi"/>
      <w:lang w:val="en-US" w:eastAsia="zh-CN" w:bidi="ar-SA"/>
    </w:rPr>
  </w:style>
  <w:style w:type="paragraph" w:styleId="161">
    <w:name w:val="List Paragraph"/>
    <w:basedOn w:val="1"/>
    <w:qFormat/>
    <w:uiPriority w:val="34"/>
    <w:pPr>
      <w:widowControl w:val="0"/>
      <w:spacing w:after="0" w:line="240" w:lineRule="auto"/>
      <w:ind w:firstLine="420" w:firstLineChars="200"/>
      <w:jc w:val="both"/>
    </w:pPr>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E2A2E-EFF8-4BCE-915E-94D927EC9C45}">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12203</Words>
  <Characters>12982</Characters>
  <Lines>105</Lines>
  <Paragraphs>29</Paragraphs>
  <TotalTime>2873</TotalTime>
  <ScaleCrop>false</ScaleCrop>
  <LinksUpToDate>false</LinksUpToDate>
  <CharactersWithSpaces>14043</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招标书</cp:category>
  <dcterms:created xsi:type="dcterms:W3CDTF">2018-07-04T01:48:00Z</dcterms:created>
  <dc:creator>唐悦</dc:creator>
  <cp:lastModifiedBy>1</cp:lastModifiedBy>
  <cp:lastPrinted>2016-12-06T00:53:00Z</cp:lastPrinted>
  <dcterms:modified xsi:type="dcterms:W3CDTF">2023-07-07T07:55:18Z</dcterms:modified>
  <dc:subject>人力资源管理信息系统招标文件</dc:subject>
  <dc:title>招标书</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8FEA0E1790544D36951649C3B404AB43_13</vt:lpwstr>
  </property>
</Properties>
</file>